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9D8" w:rsidRDefault="007109D8" w:rsidP="007109D8">
      <w:pPr>
        <w:spacing w:line="576" w:lineRule="exact"/>
        <w:rPr>
          <w:rFonts w:ascii="仿宋_GB2312" w:eastAsia="仿宋_GB2312" w:hint="eastAsia"/>
          <w:sz w:val="32"/>
          <w:szCs w:val="32"/>
        </w:rPr>
      </w:pPr>
      <w:r>
        <w:rPr>
          <w:rFonts w:ascii="仿宋_GB2312" w:eastAsia="仿宋_GB2312" w:hint="eastAsia"/>
          <w:sz w:val="32"/>
          <w:szCs w:val="32"/>
        </w:rPr>
        <w:t xml:space="preserve">附件1  </w:t>
      </w:r>
    </w:p>
    <w:p w:rsidR="007109D8" w:rsidRDefault="007109D8" w:rsidP="007109D8">
      <w:pPr>
        <w:spacing w:line="576" w:lineRule="exact"/>
        <w:jc w:val="center"/>
        <w:rPr>
          <w:rFonts w:ascii="方正小标宋简体" w:eastAsia="方正小标宋简体" w:hint="eastAsia"/>
          <w:sz w:val="36"/>
          <w:szCs w:val="36"/>
        </w:rPr>
      </w:pPr>
      <w:r>
        <w:rPr>
          <w:rFonts w:ascii="方正小标宋简体" w:eastAsia="方正小标宋简体" w:hint="eastAsia"/>
          <w:sz w:val="36"/>
          <w:szCs w:val="36"/>
        </w:rPr>
        <w:t>用人单位基本情况</w:t>
      </w:r>
    </w:p>
    <w:tbl>
      <w:tblPr>
        <w:tblW w:w="13887" w:type="dxa"/>
        <w:tblCellMar>
          <w:left w:w="0" w:type="dxa"/>
          <w:right w:w="0" w:type="dxa"/>
        </w:tblCellMar>
        <w:tblLook w:val="0000"/>
      </w:tblPr>
      <w:tblGrid>
        <w:gridCol w:w="1651"/>
        <w:gridCol w:w="2315"/>
        <w:gridCol w:w="560"/>
        <w:gridCol w:w="2374"/>
        <w:gridCol w:w="6338"/>
        <w:gridCol w:w="649"/>
      </w:tblGrid>
      <w:tr w:rsidR="007109D8" w:rsidTr="002934BF">
        <w:trPr>
          <w:trHeight w:val="484"/>
        </w:trPr>
        <w:tc>
          <w:tcPr>
            <w:tcW w:w="1651" w:type="dxa"/>
            <w:tcBorders>
              <w:top w:val="nil"/>
              <w:left w:val="nil"/>
              <w:bottom w:val="nil"/>
              <w:right w:val="nil"/>
            </w:tcBorders>
            <w:noWrap/>
            <w:tcMar>
              <w:top w:w="15" w:type="dxa"/>
              <w:left w:w="15" w:type="dxa"/>
              <w:right w:w="15" w:type="dxa"/>
            </w:tcMar>
            <w:vAlign w:val="bottom"/>
          </w:tcPr>
          <w:p w:rsidR="007109D8" w:rsidRDefault="007109D8" w:rsidP="002934BF">
            <w:pPr>
              <w:widowControl/>
              <w:jc w:val="left"/>
              <w:textAlignment w:val="bottom"/>
              <w:rPr>
                <w:rFonts w:ascii="宋体" w:hAnsi="宋体" w:cs="宋体" w:hint="eastAsia"/>
                <w:color w:val="000000"/>
                <w:sz w:val="24"/>
              </w:rPr>
            </w:pPr>
          </w:p>
        </w:tc>
        <w:tc>
          <w:tcPr>
            <w:tcW w:w="12235" w:type="dxa"/>
            <w:gridSpan w:val="5"/>
            <w:tcBorders>
              <w:top w:val="nil"/>
              <w:left w:val="nil"/>
              <w:bottom w:val="nil"/>
              <w:right w:val="nil"/>
            </w:tcBorders>
            <w:noWrap/>
            <w:tcMar>
              <w:top w:w="15" w:type="dxa"/>
              <w:left w:w="15" w:type="dxa"/>
              <w:right w:w="15" w:type="dxa"/>
            </w:tcMar>
            <w:vAlign w:val="bottom"/>
          </w:tcPr>
          <w:p w:rsidR="007109D8" w:rsidRDefault="007109D8" w:rsidP="002934BF">
            <w:pPr>
              <w:widowControl/>
              <w:textAlignment w:val="bottom"/>
              <w:rPr>
                <w:rFonts w:ascii="宋体" w:hAnsi="宋体" w:cs="宋体" w:hint="eastAsia"/>
                <w:color w:val="000000"/>
                <w:sz w:val="24"/>
              </w:rPr>
            </w:pPr>
          </w:p>
        </w:tc>
      </w:tr>
      <w:tr w:rsidR="007109D8" w:rsidTr="002934BF">
        <w:trPr>
          <w:trHeight w:val="816"/>
        </w:trPr>
        <w:tc>
          <w:tcPr>
            <w:tcW w:w="1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b/>
                <w:color w:val="000000"/>
                <w:sz w:val="20"/>
                <w:szCs w:val="20"/>
              </w:rPr>
            </w:pPr>
            <w:r>
              <w:rPr>
                <w:rFonts w:ascii="仿宋_GB2312" w:eastAsia="仿宋_GB2312" w:hAnsi="宋体" w:cs="宋体" w:hint="eastAsia"/>
                <w:b/>
                <w:color w:val="000000"/>
                <w:kern w:val="0"/>
                <w:sz w:val="20"/>
                <w:szCs w:val="20"/>
                <w:lang/>
              </w:rPr>
              <w:t>主管部门</w:t>
            </w:r>
          </w:p>
        </w:tc>
        <w:tc>
          <w:tcPr>
            <w:tcW w:w="2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b/>
                <w:color w:val="000000"/>
                <w:sz w:val="20"/>
                <w:szCs w:val="20"/>
              </w:rPr>
            </w:pPr>
            <w:r>
              <w:rPr>
                <w:rFonts w:ascii="仿宋_GB2312" w:eastAsia="仿宋_GB2312" w:hAnsi="宋体" w:cs="宋体" w:hint="eastAsia"/>
                <w:b/>
                <w:color w:val="000000"/>
                <w:kern w:val="0"/>
                <w:sz w:val="20"/>
                <w:szCs w:val="20"/>
                <w:lang/>
              </w:rPr>
              <w:t>招聘单位</w:t>
            </w:r>
          </w:p>
        </w:tc>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b/>
                <w:color w:val="000000"/>
                <w:sz w:val="20"/>
                <w:szCs w:val="20"/>
              </w:rPr>
            </w:pPr>
            <w:r>
              <w:rPr>
                <w:rFonts w:ascii="仿宋_GB2312" w:eastAsia="仿宋_GB2312" w:hAnsi="宋体" w:cs="宋体" w:hint="eastAsia"/>
                <w:b/>
                <w:color w:val="000000"/>
                <w:kern w:val="0"/>
                <w:sz w:val="20"/>
                <w:szCs w:val="20"/>
                <w:lang/>
              </w:rPr>
              <w:t>经费形式</w:t>
            </w:r>
          </w:p>
        </w:tc>
        <w:tc>
          <w:tcPr>
            <w:tcW w:w="23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b/>
                <w:color w:val="000000"/>
                <w:sz w:val="20"/>
                <w:szCs w:val="20"/>
              </w:rPr>
            </w:pPr>
            <w:r>
              <w:rPr>
                <w:rFonts w:ascii="仿宋_GB2312" w:eastAsia="仿宋_GB2312" w:hAnsi="宋体" w:cs="宋体" w:hint="eastAsia"/>
                <w:b/>
                <w:color w:val="000000"/>
                <w:kern w:val="0"/>
                <w:sz w:val="20"/>
                <w:szCs w:val="20"/>
                <w:lang/>
              </w:rPr>
              <w:t>单位地址</w:t>
            </w:r>
          </w:p>
        </w:tc>
        <w:tc>
          <w:tcPr>
            <w:tcW w:w="63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b/>
                <w:color w:val="000000"/>
                <w:sz w:val="20"/>
                <w:szCs w:val="20"/>
              </w:rPr>
            </w:pPr>
            <w:r>
              <w:rPr>
                <w:rFonts w:ascii="仿宋_GB2312" w:eastAsia="仿宋_GB2312" w:hAnsi="宋体" w:cs="宋体" w:hint="eastAsia"/>
                <w:b/>
                <w:color w:val="000000"/>
                <w:kern w:val="0"/>
                <w:sz w:val="20"/>
                <w:szCs w:val="20"/>
                <w:lang/>
              </w:rPr>
              <w:t>主要职能简介</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b/>
                <w:color w:val="000000"/>
                <w:sz w:val="20"/>
                <w:szCs w:val="20"/>
              </w:rPr>
            </w:pPr>
            <w:r>
              <w:rPr>
                <w:rFonts w:ascii="仿宋_GB2312" w:eastAsia="仿宋_GB2312" w:hAnsi="宋体" w:cs="宋体" w:hint="eastAsia"/>
                <w:b/>
                <w:color w:val="000000"/>
                <w:kern w:val="0"/>
                <w:sz w:val="20"/>
                <w:szCs w:val="20"/>
                <w:lang/>
              </w:rPr>
              <w:t>备注</w:t>
            </w:r>
          </w:p>
        </w:tc>
      </w:tr>
      <w:tr w:rsidR="007109D8" w:rsidTr="002934BF">
        <w:trPr>
          <w:trHeight w:val="1890"/>
        </w:trPr>
        <w:tc>
          <w:tcPr>
            <w:tcW w:w="1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广元市朝天区发展和改革局</w:t>
            </w:r>
          </w:p>
        </w:tc>
        <w:tc>
          <w:tcPr>
            <w:tcW w:w="2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广元市朝天区统筹城乡发展事务中心</w:t>
            </w:r>
          </w:p>
        </w:tc>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全额</w:t>
            </w:r>
          </w:p>
        </w:tc>
        <w:tc>
          <w:tcPr>
            <w:tcW w:w="23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广元市朝天区朝天镇明月路20号</w:t>
            </w:r>
          </w:p>
        </w:tc>
        <w:tc>
          <w:tcPr>
            <w:tcW w:w="63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广元市朝天区发展和改革局为区政府工作部门，是区政府管理全区经济和社会事业发展，负责研究提出全区国民经济和社会发展战略、发展规划、总量平衡、结构调整、项目及招投标管理等职能的区政府综合协调部门。</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7109D8" w:rsidRDefault="007109D8" w:rsidP="002934BF">
            <w:pPr>
              <w:jc w:val="center"/>
              <w:rPr>
                <w:rFonts w:ascii="宋体" w:hAnsi="宋体" w:cs="宋体" w:hint="eastAsia"/>
                <w:color w:val="000000"/>
                <w:sz w:val="20"/>
                <w:szCs w:val="20"/>
              </w:rPr>
            </w:pPr>
          </w:p>
        </w:tc>
      </w:tr>
      <w:tr w:rsidR="007109D8" w:rsidTr="002934BF">
        <w:trPr>
          <w:trHeight w:val="1836"/>
        </w:trPr>
        <w:tc>
          <w:tcPr>
            <w:tcW w:w="1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广元市朝天区教育和科学技术局</w:t>
            </w:r>
          </w:p>
        </w:tc>
        <w:tc>
          <w:tcPr>
            <w:tcW w:w="2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广元市朝天中学</w:t>
            </w:r>
          </w:p>
        </w:tc>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全额</w:t>
            </w:r>
          </w:p>
        </w:tc>
        <w:tc>
          <w:tcPr>
            <w:tcW w:w="23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广元市朝天区朝天镇峨眉路66号</w:t>
            </w:r>
          </w:p>
        </w:tc>
        <w:tc>
          <w:tcPr>
            <w:tcW w:w="63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四川省广元市朝天中学是朝天区人民政府主管的一所公立中学，是朝天区唯一一所普通高级中学，省二级示范校。校园占地142亩，建筑面积38542平方米。学校现有54个教学班，在校学生2784人。现有教职员工203人，具有研究生学历53人。主要从事高中教育工作。</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7109D8" w:rsidRDefault="007109D8" w:rsidP="002934BF">
            <w:pPr>
              <w:jc w:val="center"/>
              <w:rPr>
                <w:rFonts w:ascii="宋体" w:hAnsi="宋体" w:cs="宋体" w:hint="eastAsia"/>
                <w:color w:val="000000"/>
                <w:sz w:val="20"/>
                <w:szCs w:val="20"/>
              </w:rPr>
            </w:pPr>
          </w:p>
        </w:tc>
      </w:tr>
      <w:tr w:rsidR="007109D8" w:rsidTr="002934BF">
        <w:trPr>
          <w:trHeight w:val="1632"/>
        </w:trPr>
        <w:tc>
          <w:tcPr>
            <w:tcW w:w="1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广元市朝天区交通运输局</w:t>
            </w:r>
          </w:p>
        </w:tc>
        <w:tc>
          <w:tcPr>
            <w:tcW w:w="2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广元市朝天区交通建设质量监督管理站</w:t>
            </w:r>
          </w:p>
        </w:tc>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全额</w:t>
            </w:r>
          </w:p>
        </w:tc>
        <w:tc>
          <w:tcPr>
            <w:tcW w:w="23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广元市朝天区朝天镇清风大道一段</w:t>
            </w:r>
          </w:p>
        </w:tc>
        <w:tc>
          <w:tcPr>
            <w:tcW w:w="63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广元市朝天区交通建设工程质量监督管理站是广元市朝天区交通运输局下属股室，主要工作职责是负责监督检查从业单位是否具有相应的等级证书；监督检查建设、勘察、设计、监理、施工单位的质量保证体系；监督检查项目建设过程所使用材料的质量检测及项目完工后的质量检测及质量鉴定。</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7109D8" w:rsidRDefault="007109D8" w:rsidP="002934BF">
            <w:pPr>
              <w:jc w:val="center"/>
              <w:rPr>
                <w:rFonts w:ascii="宋体" w:hAnsi="宋体" w:cs="宋体" w:hint="eastAsia"/>
                <w:color w:val="000000"/>
                <w:sz w:val="20"/>
                <w:szCs w:val="20"/>
              </w:rPr>
            </w:pPr>
          </w:p>
        </w:tc>
      </w:tr>
      <w:tr w:rsidR="007109D8" w:rsidTr="002934BF">
        <w:trPr>
          <w:trHeight w:val="2618"/>
        </w:trPr>
        <w:tc>
          <w:tcPr>
            <w:tcW w:w="165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lastRenderedPageBreak/>
              <w:t>广元市朝天区卫生健康局</w:t>
            </w:r>
          </w:p>
        </w:tc>
        <w:tc>
          <w:tcPr>
            <w:tcW w:w="2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广元市朝天区医疗健康集团</w:t>
            </w:r>
          </w:p>
        </w:tc>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全额</w:t>
            </w:r>
          </w:p>
        </w:tc>
        <w:tc>
          <w:tcPr>
            <w:tcW w:w="23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广元市朝天区朝天镇明月路48号</w:t>
            </w:r>
          </w:p>
        </w:tc>
        <w:tc>
          <w:tcPr>
            <w:tcW w:w="633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top"/>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朝天区医疗健康集团成立于2020年8月，是由区人民医院、区中医院、区妇幼保健院、曾家、羊木、中子、大滩、沙河五家中心卫生院组成的医疗健康集团服务共同体。其中区人民医院为疑难重症救治中心，三级乙等，区中医院为中医康养特色分院，二级甲等，区妇幼保健院为妇幼保健特色分院，二级甲等。其余为五个医疗副中心，为多发病、常见病、地方慢病的诊治。集团现有医疗业务用房8万</w:t>
            </w:r>
            <w:r>
              <w:rPr>
                <w:rFonts w:ascii="仿宋_GB2312" w:hAnsi="宋体" w:cs="宋体" w:hint="eastAsia"/>
                <w:color w:val="000000"/>
                <w:kern w:val="0"/>
                <w:sz w:val="20"/>
                <w:szCs w:val="20"/>
                <w:lang/>
              </w:rPr>
              <w:t>㎡</w:t>
            </w:r>
            <w:r>
              <w:rPr>
                <w:rFonts w:ascii="仿宋_GB2312" w:eastAsia="仿宋_GB2312" w:hAnsi="宋体" w:cs="宋体" w:hint="eastAsia"/>
                <w:color w:val="000000"/>
                <w:kern w:val="0"/>
                <w:sz w:val="20"/>
                <w:szCs w:val="20"/>
                <w:lang/>
              </w:rPr>
              <w:t>，编制床位800张，在岗员工900余人。</w:t>
            </w:r>
          </w:p>
        </w:tc>
        <w:tc>
          <w:tcPr>
            <w:tcW w:w="64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7109D8" w:rsidRDefault="007109D8" w:rsidP="002934BF">
            <w:pPr>
              <w:jc w:val="center"/>
              <w:rPr>
                <w:rFonts w:ascii="宋体" w:hAnsi="宋体" w:cs="宋体" w:hint="eastAsia"/>
                <w:color w:val="000000"/>
                <w:sz w:val="20"/>
                <w:szCs w:val="20"/>
              </w:rPr>
            </w:pPr>
          </w:p>
        </w:tc>
      </w:tr>
      <w:tr w:rsidR="007109D8" w:rsidTr="002934BF">
        <w:trPr>
          <w:trHeight w:val="884"/>
        </w:trPr>
        <w:tc>
          <w:tcPr>
            <w:tcW w:w="16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广元市朝天区应急管理局</w:t>
            </w:r>
          </w:p>
        </w:tc>
        <w:tc>
          <w:tcPr>
            <w:tcW w:w="2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广元市朝天区安全生产技术服务中心</w:t>
            </w:r>
          </w:p>
        </w:tc>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全额</w:t>
            </w:r>
          </w:p>
        </w:tc>
        <w:tc>
          <w:tcPr>
            <w:tcW w:w="237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广元市朝天区朝天镇文昌路87号</w:t>
            </w:r>
          </w:p>
        </w:tc>
        <w:tc>
          <w:tcPr>
            <w:tcW w:w="633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广元市朝天区应急管理局是区政府工作部门，挂广元市朝天区安全生产委员会办公室（简称区安办）牌子，主要履行应急管理、安全生产、综合防灾减灾三大综合职责，全力为全区经济社会发展和人民群众生命财产安全提供坚实的安全保障。</w:t>
            </w:r>
          </w:p>
        </w:tc>
        <w:tc>
          <w:tcPr>
            <w:tcW w:w="64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7109D8" w:rsidRDefault="007109D8" w:rsidP="002934BF">
            <w:pPr>
              <w:jc w:val="center"/>
              <w:rPr>
                <w:rFonts w:ascii="宋体" w:hAnsi="宋体" w:cs="宋体" w:hint="eastAsia"/>
                <w:color w:val="000000"/>
                <w:sz w:val="20"/>
                <w:szCs w:val="20"/>
              </w:rPr>
            </w:pPr>
          </w:p>
        </w:tc>
      </w:tr>
      <w:tr w:rsidR="007109D8" w:rsidTr="002934BF">
        <w:trPr>
          <w:trHeight w:val="884"/>
        </w:trPr>
        <w:tc>
          <w:tcPr>
            <w:tcW w:w="16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jc w:val="center"/>
              <w:rPr>
                <w:rFonts w:ascii="仿宋_GB2312" w:eastAsia="仿宋_GB2312" w:hAnsi="宋体" w:cs="宋体" w:hint="eastAsia"/>
                <w:color w:val="000000"/>
                <w:sz w:val="20"/>
                <w:szCs w:val="20"/>
              </w:rPr>
            </w:pPr>
          </w:p>
        </w:tc>
        <w:tc>
          <w:tcPr>
            <w:tcW w:w="23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广元市朝天区驻矿安监员办公室</w:t>
            </w:r>
          </w:p>
        </w:tc>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全额</w:t>
            </w:r>
          </w:p>
        </w:tc>
        <w:tc>
          <w:tcPr>
            <w:tcW w:w="237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jc w:val="center"/>
              <w:rPr>
                <w:rFonts w:ascii="仿宋_GB2312" w:eastAsia="仿宋_GB2312" w:hAnsi="宋体" w:cs="宋体" w:hint="eastAsia"/>
                <w:color w:val="000000"/>
                <w:sz w:val="20"/>
                <w:szCs w:val="20"/>
              </w:rPr>
            </w:pPr>
          </w:p>
        </w:tc>
        <w:tc>
          <w:tcPr>
            <w:tcW w:w="633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jc w:val="center"/>
              <w:rPr>
                <w:rFonts w:ascii="仿宋_GB2312" w:eastAsia="仿宋_GB2312" w:hAnsi="宋体" w:cs="宋体" w:hint="eastAsia"/>
                <w:color w:val="000000"/>
                <w:sz w:val="20"/>
                <w:szCs w:val="20"/>
              </w:rPr>
            </w:pPr>
          </w:p>
        </w:tc>
        <w:tc>
          <w:tcPr>
            <w:tcW w:w="64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7109D8" w:rsidRDefault="007109D8" w:rsidP="002934BF">
            <w:pPr>
              <w:jc w:val="center"/>
              <w:rPr>
                <w:rFonts w:ascii="宋体" w:hAnsi="宋体" w:cs="宋体" w:hint="eastAsia"/>
                <w:color w:val="000000"/>
                <w:sz w:val="20"/>
                <w:szCs w:val="20"/>
              </w:rPr>
            </w:pPr>
          </w:p>
        </w:tc>
      </w:tr>
      <w:tr w:rsidR="007109D8" w:rsidTr="002934BF">
        <w:trPr>
          <w:trHeight w:val="1632"/>
        </w:trPr>
        <w:tc>
          <w:tcPr>
            <w:tcW w:w="16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四川广元朝天经济开发区</w:t>
            </w:r>
            <w:r>
              <w:rPr>
                <w:rStyle w:val="font01"/>
                <w:rFonts w:ascii="仿宋_GB2312" w:eastAsia="仿宋_GB2312" w:hint="default"/>
                <w:lang/>
              </w:rPr>
              <w:t>管委会</w:t>
            </w:r>
          </w:p>
        </w:tc>
        <w:tc>
          <w:tcPr>
            <w:tcW w:w="23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四川广元朝天经济开发区</w:t>
            </w:r>
            <w:r>
              <w:rPr>
                <w:rStyle w:val="font01"/>
                <w:rFonts w:ascii="仿宋_GB2312" w:eastAsia="仿宋_GB2312" w:hint="default"/>
                <w:lang/>
              </w:rPr>
              <w:t>管委会所属事业单位</w:t>
            </w:r>
          </w:p>
        </w:tc>
        <w:tc>
          <w:tcPr>
            <w:tcW w:w="5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全额</w:t>
            </w:r>
          </w:p>
        </w:tc>
        <w:tc>
          <w:tcPr>
            <w:tcW w:w="237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广元市朝天区朝天镇清风大道一段</w:t>
            </w:r>
          </w:p>
        </w:tc>
        <w:tc>
          <w:tcPr>
            <w:tcW w:w="633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7109D8" w:rsidRDefault="007109D8" w:rsidP="002934BF">
            <w:pPr>
              <w:widowControl/>
              <w:jc w:val="center"/>
              <w:textAlignment w:val="center"/>
              <w:rPr>
                <w:rFonts w:ascii="仿宋_GB2312" w:eastAsia="仿宋_GB2312" w:hAnsi="宋体" w:cs="宋体" w:hint="eastAsia"/>
                <w:color w:val="000000"/>
                <w:sz w:val="20"/>
                <w:szCs w:val="20"/>
              </w:rPr>
            </w:pPr>
            <w:r>
              <w:rPr>
                <w:rFonts w:ascii="仿宋_GB2312" w:eastAsia="仿宋_GB2312" w:hAnsi="宋体" w:cs="宋体" w:hint="eastAsia"/>
                <w:color w:val="000000"/>
                <w:kern w:val="0"/>
                <w:sz w:val="20"/>
                <w:szCs w:val="20"/>
                <w:lang/>
              </w:rPr>
              <w:t>四川广元朝天经济开发区采用分散管理模式。在广元市朝天区人民政府领导下，负责经开区内相关经济发展规划（草案）的编制工作；负责经开区基础设施的建设与管理工作；规划建设和建设用地纳入城市统一规划管理，并不再下放规划管理权限；负责产业项目的招商引资、建设推进、企业运行服务等工作；负责经开区财政预算、决算编制及执行；负责经开区环境保护、安全生产监督管理等工作；负责区人民政府交办的其他事项。</w:t>
            </w:r>
          </w:p>
        </w:tc>
        <w:tc>
          <w:tcPr>
            <w:tcW w:w="64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7109D8" w:rsidRDefault="007109D8" w:rsidP="002934BF">
            <w:pPr>
              <w:jc w:val="center"/>
              <w:rPr>
                <w:rFonts w:ascii="宋体" w:hAnsi="宋体" w:cs="宋体" w:hint="eastAsia"/>
                <w:color w:val="000000"/>
                <w:sz w:val="20"/>
                <w:szCs w:val="20"/>
              </w:rPr>
            </w:pPr>
          </w:p>
        </w:tc>
      </w:tr>
    </w:tbl>
    <w:p w:rsidR="00683AFA" w:rsidRDefault="00683AFA"/>
    <w:sectPr w:rsidR="00683AFA" w:rsidSect="007109D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109D8"/>
    <w:rsid w:val="00683AFA"/>
    <w:rsid w:val="007109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D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rsid w:val="007109D8"/>
    <w:rPr>
      <w:rFonts w:ascii="宋体" w:eastAsia="宋体" w:hAnsi="宋体" w:cs="宋体" w:hint="eastAsia"/>
      <w:i w:val="0"/>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2020-10-27T09:10:00Z</dcterms:created>
  <dcterms:modified xsi:type="dcterms:W3CDTF">2020-10-27T09:10:00Z</dcterms:modified>
</cp:coreProperties>
</file>