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5"/>
        <w:gridCol w:w="690"/>
        <w:gridCol w:w="1185"/>
        <w:gridCol w:w="1410"/>
        <w:gridCol w:w="720"/>
        <w:gridCol w:w="705"/>
        <w:gridCol w:w="512"/>
        <w:gridCol w:w="5970"/>
        <w:gridCol w:w="264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75" w:type="dxa"/>
            <w:tcBorders>
              <w:top w:val="nil"/>
              <w:left w:val="nil"/>
              <w:bottom w:val="nil"/>
              <w:right w:val="nil"/>
              <w:tl2br w:val="nil"/>
              <w:tr2bl w:val="nil"/>
            </w:tcBorders>
            <w:noWrap w:val="0"/>
            <w:vAlign w:val="top"/>
          </w:tcPr>
          <w:p>
            <w:pPr>
              <w:spacing w:beforeLines="0" w:afterLines="0"/>
              <w:jc w:val="left"/>
              <w:rPr>
                <w:rFonts w:hint="eastAsia" w:ascii="黑体" w:hAnsi="黑体" w:eastAsia="黑体"/>
                <w:color w:val="000000"/>
                <w:sz w:val="20"/>
              </w:rPr>
            </w:pPr>
            <w:r>
              <w:rPr>
                <w:rFonts w:hint="eastAsia" w:ascii="黑体" w:hAnsi="黑体" w:eastAsia="黑体"/>
                <w:color w:val="000000"/>
                <w:sz w:val="20"/>
              </w:rPr>
              <w:t>附件：1</w:t>
            </w:r>
          </w:p>
        </w:tc>
        <w:tc>
          <w:tcPr>
            <w:tcW w:w="690" w:type="dxa"/>
            <w:tcBorders>
              <w:top w:val="nil"/>
              <w:left w:val="nil"/>
              <w:bottom w:val="nil"/>
              <w:right w:val="nil"/>
              <w:tl2br w:val="nil"/>
              <w:tr2bl w:val="nil"/>
            </w:tcBorders>
            <w:noWrap w:val="0"/>
            <w:vAlign w:val="top"/>
          </w:tcPr>
          <w:p>
            <w:pPr>
              <w:spacing w:beforeLines="0" w:afterLines="0"/>
              <w:jc w:val="left"/>
              <w:rPr>
                <w:rFonts w:hint="eastAsia" w:ascii="黑体" w:hAnsi="黑体" w:eastAsia="黑体"/>
                <w:color w:val="000000"/>
                <w:sz w:val="20"/>
              </w:rPr>
            </w:pPr>
          </w:p>
        </w:tc>
        <w:tc>
          <w:tcPr>
            <w:tcW w:w="1185" w:type="dxa"/>
            <w:tcBorders>
              <w:top w:val="nil"/>
              <w:left w:val="nil"/>
              <w:bottom w:val="nil"/>
              <w:right w:val="nil"/>
              <w:tl2br w:val="nil"/>
              <w:tr2bl w:val="nil"/>
            </w:tcBorders>
            <w:noWrap w:val="0"/>
            <w:vAlign w:val="top"/>
          </w:tcPr>
          <w:p>
            <w:pPr>
              <w:spacing w:beforeLines="0" w:afterLines="0"/>
              <w:jc w:val="center"/>
              <w:rPr>
                <w:rFonts w:hint="eastAsia" w:ascii="黑体" w:hAnsi="黑体" w:eastAsia="黑体"/>
                <w:color w:val="000000"/>
                <w:sz w:val="20"/>
              </w:rPr>
            </w:pPr>
          </w:p>
        </w:tc>
        <w:tc>
          <w:tcPr>
            <w:tcW w:w="1410" w:type="dxa"/>
            <w:tcBorders>
              <w:top w:val="nil"/>
              <w:left w:val="nil"/>
              <w:bottom w:val="nil"/>
              <w:right w:val="nil"/>
              <w:tl2br w:val="nil"/>
              <w:tr2bl w:val="nil"/>
            </w:tcBorders>
            <w:noWrap w:val="0"/>
            <w:vAlign w:val="top"/>
          </w:tcPr>
          <w:p>
            <w:pPr>
              <w:spacing w:beforeLines="0" w:afterLines="0"/>
              <w:jc w:val="center"/>
              <w:rPr>
                <w:rFonts w:hint="eastAsia" w:ascii="黑体" w:hAnsi="黑体" w:eastAsia="黑体"/>
                <w:color w:val="000000"/>
                <w:sz w:val="20"/>
              </w:rPr>
            </w:pPr>
          </w:p>
        </w:tc>
        <w:tc>
          <w:tcPr>
            <w:tcW w:w="720" w:type="dxa"/>
            <w:tcBorders>
              <w:top w:val="nil"/>
              <w:left w:val="nil"/>
              <w:bottom w:val="nil"/>
              <w:right w:val="nil"/>
              <w:tl2br w:val="nil"/>
              <w:tr2bl w:val="nil"/>
            </w:tcBorders>
            <w:noWrap w:val="0"/>
            <w:vAlign w:val="top"/>
          </w:tcPr>
          <w:p>
            <w:pPr>
              <w:spacing w:beforeLines="0" w:afterLines="0"/>
              <w:jc w:val="center"/>
              <w:rPr>
                <w:rFonts w:hint="eastAsia" w:ascii="黑体" w:hAnsi="黑体" w:eastAsia="黑体"/>
                <w:color w:val="000000"/>
                <w:sz w:val="20"/>
              </w:rPr>
            </w:pPr>
          </w:p>
        </w:tc>
        <w:tc>
          <w:tcPr>
            <w:tcW w:w="705" w:type="dxa"/>
            <w:tcBorders>
              <w:top w:val="nil"/>
              <w:left w:val="nil"/>
              <w:bottom w:val="nil"/>
              <w:right w:val="nil"/>
              <w:tl2br w:val="nil"/>
              <w:tr2bl w:val="nil"/>
            </w:tcBorders>
            <w:noWrap w:val="0"/>
            <w:vAlign w:val="top"/>
          </w:tcPr>
          <w:p>
            <w:pPr>
              <w:spacing w:beforeLines="0" w:afterLines="0"/>
              <w:jc w:val="left"/>
              <w:rPr>
                <w:rFonts w:hint="eastAsia" w:ascii="黑体" w:hAnsi="黑体" w:eastAsia="黑体"/>
                <w:color w:val="000000"/>
                <w:sz w:val="20"/>
              </w:rPr>
            </w:pPr>
          </w:p>
        </w:tc>
        <w:tc>
          <w:tcPr>
            <w:tcW w:w="512" w:type="dxa"/>
            <w:tcBorders>
              <w:top w:val="nil"/>
              <w:left w:val="nil"/>
              <w:bottom w:val="nil"/>
              <w:right w:val="nil"/>
              <w:tl2br w:val="nil"/>
              <w:tr2bl w:val="nil"/>
            </w:tcBorders>
            <w:noWrap w:val="0"/>
            <w:vAlign w:val="top"/>
          </w:tcPr>
          <w:p>
            <w:pPr>
              <w:spacing w:beforeLines="0" w:afterLines="0"/>
              <w:jc w:val="center"/>
              <w:rPr>
                <w:rFonts w:hint="eastAsia" w:ascii="黑体" w:hAnsi="黑体" w:eastAsia="黑体"/>
                <w:color w:val="000000"/>
                <w:sz w:val="20"/>
              </w:rPr>
            </w:pPr>
          </w:p>
        </w:tc>
        <w:tc>
          <w:tcPr>
            <w:tcW w:w="5970" w:type="dxa"/>
            <w:tcBorders>
              <w:top w:val="nil"/>
              <w:left w:val="nil"/>
              <w:bottom w:val="nil"/>
              <w:right w:val="nil"/>
              <w:tl2br w:val="nil"/>
              <w:tr2bl w:val="nil"/>
            </w:tcBorders>
            <w:noWrap w:val="0"/>
            <w:vAlign w:val="top"/>
          </w:tcPr>
          <w:p>
            <w:pPr>
              <w:spacing w:beforeLines="0" w:afterLines="0"/>
              <w:jc w:val="left"/>
              <w:rPr>
                <w:rFonts w:hint="eastAsia" w:ascii="黑体" w:hAnsi="黑体" w:eastAsia="黑体"/>
                <w:color w:val="000000"/>
                <w:sz w:val="20"/>
              </w:rPr>
            </w:pPr>
          </w:p>
        </w:tc>
        <w:tc>
          <w:tcPr>
            <w:tcW w:w="2640" w:type="dxa"/>
            <w:tcBorders>
              <w:top w:val="nil"/>
              <w:left w:val="nil"/>
              <w:bottom w:val="nil"/>
              <w:right w:val="nil"/>
              <w:tl2br w:val="nil"/>
              <w:tr2bl w:val="nil"/>
            </w:tcBorders>
            <w:noWrap w:val="0"/>
            <w:vAlign w:val="top"/>
          </w:tcPr>
          <w:p>
            <w:pPr>
              <w:spacing w:beforeLines="0" w:afterLines="0"/>
              <w:jc w:val="left"/>
              <w:rPr>
                <w:rFonts w:hint="eastAsia" w:ascii="黑体" w:hAnsi="黑体" w:eastAsia="黑体"/>
                <w:color w:val="000000"/>
                <w:sz w:val="20"/>
              </w:rPr>
            </w:pPr>
          </w:p>
        </w:tc>
        <w:tc>
          <w:tcPr>
            <w:tcW w:w="1260" w:type="dxa"/>
            <w:tcBorders>
              <w:top w:val="nil"/>
              <w:left w:val="nil"/>
              <w:bottom w:val="nil"/>
              <w:right w:val="nil"/>
              <w:tl2br w:val="nil"/>
              <w:tr2bl w:val="nil"/>
            </w:tcBorders>
            <w:noWrap w:val="0"/>
            <w:vAlign w:val="top"/>
          </w:tcPr>
          <w:p>
            <w:pPr>
              <w:spacing w:beforeLines="0" w:afterLines="0"/>
              <w:jc w:val="left"/>
              <w:rPr>
                <w:rFonts w:hint="eastAsia" w:ascii="黑体" w:hAnsi="黑体" w:eastAsia="黑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475" w:type="dxa"/>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36"/>
              </w:rPr>
            </w:pPr>
            <w:r>
              <w:rPr>
                <w:rFonts w:hint="eastAsia" w:ascii="宋体" w:hAnsi="宋体"/>
                <w:color w:val="000000"/>
                <w:sz w:val="36"/>
              </w:rPr>
              <w:t>2020年吉林省省直事业单位公开招聘工作人员岗位及其资格条件一览表（18号）</w:t>
            </w:r>
          </w:p>
        </w:tc>
        <w:tc>
          <w:tcPr>
            <w:tcW w:w="690" w:type="dxa"/>
            <w:tcBorders>
              <w:top w:val="nil"/>
              <w:left w:val="nil"/>
              <w:bottom w:val="nil"/>
              <w:right w:val="nil"/>
              <w:tl2br w:val="nil"/>
              <w:tr2bl w:val="nil"/>
            </w:tcBorders>
            <w:noWrap w:val="0"/>
            <w:vAlign w:val="top"/>
          </w:tcPr>
          <w:p>
            <w:pPr>
              <w:spacing w:beforeLines="0" w:afterLines="0"/>
              <w:jc w:val="left"/>
              <w:rPr>
                <w:rFonts w:hint="eastAsia" w:ascii="宋体" w:hAnsi="宋体"/>
                <w:b/>
                <w:color w:val="000000"/>
                <w:sz w:val="36"/>
              </w:rPr>
            </w:pPr>
          </w:p>
        </w:tc>
        <w:tc>
          <w:tcPr>
            <w:tcW w:w="1185" w:type="dxa"/>
            <w:tcBorders>
              <w:top w:val="nil"/>
              <w:left w:val="nil"/>
              <w:bottom w:val="nil"/>
              <w:right w:val="nil"/>
              <w:tl2br w:val="nil"/>
              <w:tr2bl w:val="nil"/>
            </w:tcBorders>
            <w:noWrap w:val="0"/>
            <w:vAlign w:val="top"/>
          </w:tcPr>
          <w:p>
            <w:pPr>
              <w:spacing w:beforeLines="0" w:afterLines="0"/>
              <w:jc w:val="center"/>
              <w:rPr>
                <w:rFonts w:hint="eastAsia" w:ascii="宋体" w:hAnsi="宋体"/>
                <w:b/>
                <w:color w:val="000000"/>
                <w:sz w:val="36"/>
              </w:rPr>
            </w:pPr>
          </w:p>
        </w:tc>
        <w:tc>
          <w:tcPr>
            <w:tcW w:w="1410" w:type="dxa"/>
            <w:tcBorders>
              <w:top w:val="nil"/>
              <w:left w:val="nil"/>
              <w:bottom w:val="nil"/>
              <w:right w:val="nil"/>
              <w:tl2br w:val="nil"/>
              <w:tr2bl w:val="nil"/>
            </w:tcBorders>
            <w:noWrap w:val="0"/>
            <w:vAlign w:val="top"/>
          </w:tcPr>
          <w:p>
            <w:pPr>
              <w:spacing w:beforeLines="0" w:afterLines="0"/>
              <w:jc w:val="center"/>
              <w:rPr>
                <w:rFonts w:hint="eastAsia" w:ascii="宋体" w:hAnsi="宋体"/>
                <w:b/>
                <w:color w:val="000000"/>
                <w:sz w:val="36"/>
              </w:rPr>
            </w:pPr>
          </w:p>
        </w:tc>
        <w:tc>
          <w:tcPr>
            <w:tcW w:w="720" w:type="dxa"/>
            <w:tcBorders>
              <w:top w:val="nil"/>
              <w:left w:val="nil"/>
              <w:bottom w:val="nil"/>
              <w:right w:val="nil"/>
              <w:tl2br w:val="nil"/>
              <w:tr2bl w:val="nil"/>
            </w:tcBorders>
            <w:noWrap w:val="0"/>
            <w:vAlign w:val="top"/>
          </w:tcPr>
          <w:p>
            <w:pPr>
              <w:spacing w:beforeLines="0" w:afterLines="0"/>
              <w:jc w:val="center"/>
              <w:rPr>
                <w:rFonts w:hint="eastAsia" w:ascii="宋体" w:hAnsi="宋体"/>
                <w:b/>
                <w:color w:val="000000"/>
                <w:sz w:val="36"/>
              </w:rPr>
            </w:pPr>
          </w:p>
        </w:tc>
        <w:tc>
          <w:tcPr>
            <w:tcW w:w="705" w:type="dxa"/>
            <w:tcBorders>
              <w:top w:val="nil"/>
              <w:left w:val="nil"/>
              <w:bottom w:val="nil"/>
              <w:right w:val="nil"/>
              <w:tl2br w:val="nil"/>
              <w:tr2bl w:val="nil"/>
            </w:tcBorders>
            <w:noWrap w:val="0"/>
            <w:vAlign w:val="top"/>
          </w:tcPr>
          <w:p>
            <w:pPr>
              <w:spacing w:beforeLines="0" w:afterLines="0"/>
              <w:jc w:val="left"/>
              <w:rPr>
                <w:rFonts w:hint="eastAsia" w:ascii="宋体" w:hAnsi="宋体"/>
                <w:b/>
                <w:color w:val="000000"/>
                <w:sz w:val="36"/>
              </w:rPr>
            </w:pPr>
          </w:p>
        </w:tc>
        <w:tc>
          <w:tcPr>
            <w:tcW w:w="512" w:type="dxa"/>
            <w:tcBorders>
              <w:top w:val="nil"/>
              <w:left w:val="nil"/>
              <w:bottom w:val="nil"/>
              <w:right w:val="nil"/>
              <w:tl2br w:val="nil"/>
              <w:tr2bl w:val="nil"/>
            </w:tcBorders>
            <w:noWrap w:val="0"/>
            <w:vAlign w:val="top"/>
          </w:tcPr>
          <w:p>
            <w:pPr>
              <w:spacing w:beforeLines="0" w:afterLines="0"/>
              <w:jc w:val="center"/>
              <w:rPr>
                <w:rFonts w:hint="eastAsia" w:ascii="宋体" w:hAnsi="宋体"/>
                <w:b/>
                <w:color w:val="000000"/>
                <w:sz w:val="36"/>
              </w:rPr>
            </w:pPr>
          </w:p>
        </w:tc>
        <w:tc>
          <w:tcPr>
            <w:tcW w:w="5970" w:type="dxa"/>
            <w:tcBorders>
              <w:top w:val="nil"/>
              <w:left w:val="nil"/>
              <w:bottom w:val="nil"/>
              <w:right w:val="nil"/>
              <w:tl2br w:val="nil"/>
              <w:tr2bl w:val="nil"/>
            </w:tcBorders>
            <w:noWrap w:val="0"/>
            <w:vAlign w:val="top"/>
          </w:tcPr>
          <w:p>
            <w:pPr>
              <w:spacing w:beforeLines="0" w:afterLines="0"/>
              <w:jc w:val="left"/>
              <w:rPr>
                <w:rFonts w:hint="eastAsia" w:ascii="宋体" w:hAnsi="宋体"/>
                <w:b/>
                <w:color w:val="000000"/>
                <w:sz w:val="36"/>
              </w:rPr>
            </w:pPr>
          </w:p>
        </w:tc>
        <w:tc>
          <w:tcPr>
            <w:tcW w:w="2640" w:type="dxa"/>
            <w:tcBorders>
              <w:top w:val="nil"/>
              <w:left w:val="nil"/>
              <w:bottom w:val="nil"/>
              <w:right w:val="nil"/>
              <w:tl2br w:val="nil"/>
              <w:tr2bl w:val="nil"/>
            </w:tcBorders>
            <w:noWrap w:val="0"/>
            <w:vAlign w:val="top"/>
          </w:tcPr>
          <w:p>
            <w:pPr>
              <w:spacing w:beforeLines="0" w:afterLines="0"/>
              <w:jc w:val="left"/>
              <w:rPr>
                <w:rFonts w:hint="eastAsia" w:ascii="宋体" w:hAnsi="宋体"/>
                <w:b/>
                <w:color w:val="000000"/>
                <w:sz w:val="36"/>
              </w:rPr>
            </w:pPr>
          </w:p>
        </w:tc>
        <w:tc>
          <w:tcPr>
            <w:tcW w:w="1260" w:type="dxa"/>
            <w:tcBorders>
              <w:top w:val="nil"/>
              <w:left w:val="nil"/>
              <w:bottom w:val="nil"/>
              <w:right w:val="nil"/>
              <w:tl2br w:val="nil"/>
              <w:tr2bl w:val="nil"/>
            </w:tcBorders>
            <w:noWrap w:val="0"/>
            <w:vAlign w:val="top"/>
          </w:tcPr>
          <w:p>
            <w:pPr>
              <w:spacing w:beforeLines="0" w:afterLines="0"/>
              <w:jc w:val="center"/>
              <w:rPr>
                <w:rFonts w:hint="eastAsia" w:ascii="宋体" w:hAnsi="宋体"/>
                <w:b/>
                <w:color w:val="000000"/>
                <w:sz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序号</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主管部门名称</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招聘单位名称</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招聘岗位名称</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招聘岗位级别</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招聘岗位经费形式</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招聘人数</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招聘岗位条件</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b/>
                <w:color w:val="000000"/>
                <w:sz w:val="20"/>
              </w:rPr>
            </w:pPr>
            <w:r>
              <w:rPr>
                <w:rFonts w:hint="eastAsia" w:ascii="宋体" w:hAnsi="宋体"/>
                <w:b/>
                <w:color w:val="000000"/>
                <w:sz w:val="20"/>
              </w:rPr>
              <w:t>报名地点及联系方式（未注明区号的区号为0431）</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6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吉林省人民代表大会常务委员会办公厅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吉林省人民代表大会常务委员会办公厅宣传中心（《吉林人大》月刊编辑部）</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新闻采编制作</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40周岁以下，统招本科学历学士学位文学（学科门类）专业，或硕士研究生及以上学历学位新闻学、传播学、广播电视学（节目主持方向）专业，具有记者系列中级专业技术职称，具有5年及以上新闻媒体行业新闻采编工作经历并获得过省级及以上新闻奖项。</w:t>
            </w:r>
          </w:p>
        </w:tc>
        <w:tc>
          <w:tcPr>
            <w:tcW w:w="26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报名邮箱：1374892504@qq.com。咨询电话：85091609；传真：85091611；联系人：张玉禄；</w:t>
            </w:r>
          </w:p>
          <w:p>
            <w:pPr>
              <w:spacing w:beforeLines="0" w:afterLines="0"/>
              <w:jc w:val="left"/>
              <w:rPr>
                <w:rFonts w:hint="eastAsia" w:ascii="宋体" w:hAnsi="宋体"/>
                <w:color w:val="000000"/>
                <w:sz w:val="18"/>
              </w:rPr>
            </w:pPr>
            <w:r>
              <w:rPr>
                <w:rFonts w:hint="eastAsia" w:ascii="宋体" w:hAnsi="宋体"/>
                <w:color w:val="000000"/>
                <w:sz w:val="18"/>
              </w:rPr>
              <w:t>纪检监督电话：85091617。</w:t>
            </w: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需要独立到边远地区蹲点工作，具有播音、节目主持、音视频摄录制作等方面特长或熟悉新媒体制作流程。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吉林农业科技学院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汉语教学专业教师</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35周岁以下，硕士研究生及以上学历学位汉语国际教育专业，并具有统招本科学历学士学位汉语言文学专业。</w:t>
            </w:r>
          </w:p>
        </w:tc>
        <w:tc>
          <w:tcPr>
            <w:tcW w:w="26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报名邮箱：jlnkursc@126.com。咨询电话：0432-63509572；</w:t>
            </w:r>
          </w:p>
          <w:p>
            <w:pPr>
              <w:spacing w:beforeLines="0" w:afterLines="0"/>
              <w:jc w:val="left"/>
              <w:rPr>
                <w:rFonts w:hint="eastAsia" w:ascii="宋体" w:hAnsi="宋体"/>
                <w:color w:val="000000"/>
                <w:sz w:val="18"/>
              </w:rPr>
            </w:pPr>
            <w:r>
              <w:rPr>
                <w:rFonts w:hint="eastAsia" w:ascii="宋体" w:hAnsi="宋体"/>
                <w:color w:val="000000"/>
                <w:sz w:val="18"/>
              </w:rPr>
              <w:t>传真：0432-63509706；联系人：龙宇航；纪检监督电话：0432-63509266。</w:t>
            </w: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3</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吉林农业科技学院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健美操专业教师</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体育教育训练学（健美操方向）、体育教育（健美操方向）、运动训练（健美操方向）专业，并具有统招本科学历学士学位武术与民族传统体育、体育教育、运动训练专业。</w:t>
            </w:r>
          </w:p>
        </w:tc>
        <w:tc>
          <w:tcPr>
            <w:tcW w:w="26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4</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吉林农业科技学院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土木工程专业实践教师</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35周岁以下，硕士研究生及以上学历学位建筑学专业，并具有统招本科学历学士学位建筑学、土木工程专业。</w:t>
            </w:r>
          </w:p>
        </w:tc>
        <w:tc>
          <w:tcPr>
            <w:tcW w:w="26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5</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吉林农业科技学院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影音媒体技术员</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35周岁以下，硕士研究生及以上学历学士学位广播电视艺术学、广播电视专业，并具有统招本科学历学士学位广播电视编导专业。</w:t>
            </w:r>
          </w:p>
        </w:tc>
        <w:tc>
          <w:tcPr>
            <w:tcW w:w="26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6</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建筑学专业教师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3</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40周岁以下，博士研究生学历学位建筑学专业，并具有统招本科学历学士学位建筑学、城乡规划、城市规划专业。</w:t>
            </w:r>
          </w:p>
        </w:tc>
        <w:tc>
          <w:tcPr>
            <w:tcW w:w="2640" w:type="dxa"/>
            <w:tcBorders>
              <w:top w:val="single" w:color="auto" w:sz="6" w:space="0"/>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报名邮箱：473838055@qq.com。咨询电话：84566143；联系人：葛晨娇；纪检监督电话：84566041。</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7</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城乡规划学专业教师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40周岁以下，博士研究生学历学位城乡规划学专业，并具有统招本科学历学士学位建筑学、城乡规划、城市规划专业。</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8</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机械工程专业教师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40周岁以下，博士研究生学历学位机械工程专业，并具有统招本科学历学士学位专业不限。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9</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土木工程专业教师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3</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40周岁以下，博士研究生学历学位土木工程专业，并具有统招本科学历学士学位专业不限。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10</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城市地下空间工程专业教师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40周岁以下，博士研究生学历学位土木工程、地质工程专业，并具有统招本科学历学士学位专业不限。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11</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环境保护工程自动化系统设计专业教师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副高级专业技术岗位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45周岁以下，博士研究生学历学位环境工程专业，本科为工业自动化专业，具有工程系列副高级专业技术职称。具有5年及以上环境保护工程自动化系统设计与研究工程实践经验者年龄可放宽至50周岁。</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12</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环境工程专业教师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40周岁以下，博士研究生学历学位环境工程专业，并具有统招本科学历学士学位环境工程专业。</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13</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市政工程专业教师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40周岁以下，博士研究生学历学位市政工程专业，并具有统招本科学历学士学位给排水科学与工程、给水排水工程专业。</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14</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安全工程专业教师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3</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40周岁以下，博士研究生学历学位安全工程、安全技术及工程、安全科学与工程、应急技术与管理专业，并具有统招本科学历学士学位专业不限。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15</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消防工程专业教师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3</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40周岁以下，博士研究生学历学位消防工程、安全科学与工程（消防工程方向），并具有统招本科学历学士学位专业不限。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16</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应急技术与管理专业教师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4</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防灾减灾工程及防护工程、桥梁与隧道工程、安全科学与工程（应急技术与管理方向）、管理科学与工程（应急与救援方向）、安全与应急管理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17</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职业卫生工程专业教师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40周岁以下，博士研究生学历学位职业卫生工程专业，并具有统招本科学历学士学位专业不限。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18</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材料科学与工程专业教师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3</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40周岁以下，博士研究生学历学位材料科学与工程（建筑材料方向）专业，并具有统招本科学历学士学位专业不限。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19</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交通信息工程及控制专业教师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40周岁以下，博士研究生学历学位交通信息工程及控制、道路与铁道工程专业，并具有统招本科学历学士学位道路桥梁与渡河工程、土木工程（路桥方向）专业。</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20</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道路与铁道工程专业教师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40周岁以下，博士研究生学历学位道路与铁道工程专业，并具有统招本科学历学士学位道路桥梁与渡河工程、土木工程（路桥方向）专业。</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21</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桥梁与隧道工程专业教师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40周岁以下，博士研究生学历学位桥梁与隧道工程、岩土工程专业，并具有统招本科学历学士学位道路桥梁与渡河工程、土木工程（路桥方向）专业。</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22</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电子科学与技术专业教师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副高级专业技术岗位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45周岁以下，博士研究生学历学位微电子学与固体电子学专业，并具有统招本科学历学士学位电子学与信息系统专业。具有高校教师系列副高级专业技术职称。</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23</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建筑电气与智能化专业教师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40周岁以下，博士研究生学历学位电气工程、电路与系统、控制理论与控制工程、检测技术与自动化装置专业，并具有统招本科学历学士学位专业不限。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24</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电气工程专业教师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40周岁以下，博士研究生学历学位电气工程专业，并具有统招本科学历学士学位专业不限。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25</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微电子学与固体电子学专业教师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3</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40周岁以下，博士研究生学历学位微电子学与固体电子学、光学工程专业，并具有统招本科学历学士学位电子科学与技术、微电子学、光电信息工程专业。</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26</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测绘工程专业教师1</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副高级专业技术岗位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45周岁以下，博士研究生学历学位测绘科学与技术、固体地球物理学专业，并具有统招本科学历学士学位测绘工程专业，具有工程系列副高级专业技术职称。</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27</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测绘工程专业教师2</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40周岁以下，博士研究生学历学位测绘科学与技术、地图学与地理信息系统专业，并具有统招本科学历学士学位测绘工程专业。</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28</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遥感科学与技术专业教师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40周岁以下，博士研究生学历学位测绘科学与技术、地图学与地理信息系统专业，并具有统招本科学历学士学位专业不限。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29</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地理信息科学专业教师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40周岁以下，博士研究生学历学位地理学、资源环境遥感专业，并具有统招本科学历学士学位专业不限。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30</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地理空间信息工程专业教师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40周岁以下，博士研究生学历学位测绘科学与技术、地图学与地理信息系统专业，并具有统招本科学历学士学位专业不限。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31</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地质工程专业教师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40周岁以下，博士研究生学历学位地质工程、岩土工程专业，并具有统招本科学历学士学位专业不限。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32</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勘查技术与工程专业教师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40周岁以下，博士研究生学历学位地球探测与信息技术专业，并具有统招本科学历学士学位专业不限。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33</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经济学专业教师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4</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40周岁以下，博士研究生学历学位区域经济学、产业经济学、世界经济、西方经济学、财政学、金融学、国际贸易学、劳动经济学、统计学、数量经济学专业，并具有统招本科学历学士学位专业不限。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34</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工程管理专业教师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4</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40周岁以下，博士研究生学历学位工程管理、管理科学与工程（工程管理方向）、土木工程专业，并具有统招本科学历学士学位工程管理、工程造价、土木工程专业。</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35</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财务管理专业教师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40周岁以下，博士研究生学历学位会计学、企业管理、技术经济及管理、金融学专业，并具有统招本科学历学士学位专业不限。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36</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社会工作专业教师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40周岁以下，博士研究生学历学位社会保障、民商法学（社会保障法学方向）、社会学（二级学科）、人口学专业，并具有统招本科学历学士学位专业不限。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37</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物流管理专业教师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40周岁以下，博士研究生学历学位企业管理、交通运输规划与管理专业，并具有统招本科学历学士学位专业不限。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38</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公共事业管理专业教师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公共管理、行政管理、社会医学与卫生事业管理（管理学学位）、教育经济与管理（管理学学位）、社会保障、企业管理（人力资源管理方向）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39</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城市管理专业教师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行政管理、社会医学与卫生事业管理（管理学学位）、教育经济与管理（管理学学位）、社会保障、政治学、理论经济学、土地资源管理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40</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管理科学与工程专业教师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3</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40周岁以下，博士研究生学历学位管理科学与工程专业，并具有统招本科学历学士学位专业不限。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41</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设计学专业教师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40周岁以下，博士研究生学历学位设计学专业，并具有统招本科学历学士学位专业不限。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42</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风景园林专业教师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40周岁以下，博士研究生学历学位城乡规划学专业，并具有统招本科学历学士学位景观学专业。</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43</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书法专业教师5</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副高级专业技术岗位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45周岁以下，本科及以上学历美术教育、美术（学）专业，具有美术学专业副高级专业技术职称，书法作品参加国家级展赛并获奖。具有10年及以上院校书法教学工作经历者年龄可放宽至50周岁。</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44</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中国古文字学专业教师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40周岁以下，博士研究生学历学位汉语言文字学、中国古典文献学、历史文献学（以上专业的中国古文字学方向）专业，并具有统招本科学历学士学位专业不限，书法作品参加省书协或中书协展览。</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45</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美术学（中国画人物方向）专业教师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40周岁以下，博士研究生学历学位美术学（中国画人物方向）专业，并具有统招本科学历学士学位中国画（人物方向）、美术学（中国画人物方向）、绘画（中国画人物方向）专业，作品参加省美协及以上展览。</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46</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书法专业教师1</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美术学（书法方向）专业，并具有统招本科学历学士学位书法学、中国画、美术学（书法或中国画方向）、绘画（中国画方向）、历史学、汉语言文学、古典文献学专业，篆书书法作品参加省书协或中书协展览。</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47</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书法专业教师2</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美术学（书法方向）专业，并具有统招本科学历学士学位书法学、中国画、美术学（书法或中国画方向）、绘画（中国画方向）、历史学、汉语言文学、古典文献学专业，楷书书法作品参加省书协或中书协展览。</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48</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书法专业教师3</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美术学（书法方向）专业，并具有统招本科学历学士学位书法学、中国画、美术学（书法或中国画方向）、绘画（中国画方向）、历史学、汉语言文学、古典文献学专业，隶书书法作品参加省书协或中书协展览。</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49</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书法专业教师4</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美术学（书法方向）专业，并具有统招本科学历学士学位书法学、中国画、美术学（书法或中国画方向）、绘画（中国画方向）、历史学、汉语言文学、古典文献学专业，草书书法作品参加省书协或中书协展览。</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50</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思想政治理论课专业教师1</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40周岁以下，中共党员（含预备党员），博士研究生学历学位政治学理论专业，并具有统招本科学历学士学位专业不限。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51</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思想政治理论课专业教师2</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40周岁以下，中共党员（含预备党员），博士研究生学历学位马克思主义哲学专业，并具有统招本科学历学士学位哲学（一级学科）、法学（一级学科）、政治学、马克思主义理论专业。</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52</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数学专业教师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40周岁以下，博士研究生学历学位数学、学科教学（数学）专业，并具有统招本科学历学士学位专业不限。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53</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英语专业教师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哲学、经济学、法学、教育学、文学、历史学、管理学专业（以上均指学科门类），硕士为英语语言文学、外国语言学及应用语言学（英语方向）、英语笔译、英语口译、学科教学（英语）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54</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体育专业教师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40周岁以下，博士研究生学历学位学科教学（体育）、体育教育训练学（以上专业的排球、羽毛球、足球、田径方向）专业，并具有统招本科学历学士学位专业不限。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55</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翻译</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哲学、经济学、法学、教育学、文学、历史学、管理学专业（以上均指学科门类），硕士为英语语言文学、外国语言学及应用语言学（英语方向）、英语笔译、英语口译、学科教学（英语）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56</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对外汉语教师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中共党员（含预备党员），博士研究生学历学位哲学、经济学、法学、教育学、文学、历史学、管理学专业（以上均指学科门类），硕士为中国语言文学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57</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机关、教辅工作人员1</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哲学（一级学科）、理论经济学、应用经济学、法学（一级学科）、政治学、马克思主义理论、教育学原理、课程与教学论、教育史、比较教育学、高等教育学、教育技术学、心理学、语言学及应用语言学、新闻传播学、管理科学与工程、工商管理、公共管理、图书情报与档案管理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58</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机关、教辅工作人员2</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3</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博士研究生学历学位数学、物理学、化学、系统科学、统计学、固体地球物理学、构造地质学、电子科学与技术、信息与通信工程、控制科学与工程、计算机科学与技术、软件工程、网络空间安全、地质资源与地质工程或矿物学、岩石学、矿床学专业，并具有统招本科学历学士学位专业不限。</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59</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设计学学科骨干教师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副高级专业技术岗位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45周岁以下，硕士研究生及以上学历学位设计艺术学专业，并具有统招本科学历学士学位专业不限，具有教师系列副高级专业技术职称和10年及以上工作经历。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60</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化学学科骨干教师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副高级专业技术岗位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45周岁以下，硕士研究生及以上学历学位有机化学专业，并具有统招本科学历学士学位专业不限，具有教师系列副高级专业技术职称和10年及以上工作经历。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61</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体育学科骨干教师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副高级专业技术岗位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45周岁以下，硕士研究生及以上学历学位体育教育训练学（田径方向）专业，并具有统招本科学历学士学位专业不限，具有教师系列副高级专业技术职称和10年及以上工作经历。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62</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安全工程专业教师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40周岁以下，硕士研究生及以上学历学位安全工程专业，并具有统招本科学历学士学位专业不限，具有教师系列中级专业技术职称和10年及以上工作经历。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63</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社会学专业教师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40周岁以下，硕士研究生及以上学历学位社会学（二级学科）、人类学专业，并具有统招本科学历学士学位专业不限，具有教师系列中级专业技术职称和10年及以上工作经历。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64</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涉外工商业经济管理专业教师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40周岁以下，硕士研究生及以上学历学位国际商务、产业经济学专业，并具有统招本科学历学士学位专业不限，具有教师系列、研究系列中级专业技术职称和10年及以上工作经历。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65</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英语专业教师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40周岁以下，硕士研究生及以上学历学位外国语言学及应用语言学（英语方向）专业，并具有统招本科学历学士学位专业不限，具有教师系列中级专业技术职称和10年及以上工作经历。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66</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建筑学专业教师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3</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40周岁以下，硕士研究生及以上学历学位建筑学专业，并具有统招本科学历学士学位专业不限，具有教师系列、实验系列中级专业技术职称和10年及以上工作经历。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67</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思想政治教育专业教师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40周岁以下，中共党员（含预备党员），硕士研究生及以上学历学位思想政治教育专业，并具有统招本科学历学士学位专业不限。具有教师系列中级专业技术职称和10年及以上工作经历。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68</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中国近现代史教育与实践教师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硕士研究生及以上学历学位中国近现代史、历史文献学专业，并具有统招本科学历学位专业不限，具有教师系列中级专业技术职称和10年及以上工作经历。主持完成地厅级及以上课题或获得地厅级及以上政府学术奖项者年龄放宽至45周岁。</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69</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大学生心理健康教育与实践教师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中共党员（含预备党员），硕士研究生及以上学历学位基础心理学、应用心理学专业，并具有统招本科学历学士学位专业不限，具有教师系列中级专业技术职称和10年及以上工作经历。主持完成地厅级及以上课题或获得地厅级及以上政府学术奖项者年龄放宽至45周岁。</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70</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工程管理实验教师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硕士研究生及以上学历学位或专业型硕士学位项目管理专业，并具有统招本科学历学士学位专业不限，具有实验系列中级专业技术职称和10年及以上工作经历。主持完成地厅级及以上课题或获得地厅级及以上政府学术奖项或以第一发明人身份获得发明专利者年龄放宽至45周岁。</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71</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环境空间设计实验教师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硕士研究生及以上学历学位或专业型硕士学位风景园林专业，并具有统招本科学历学士学位专业不限，具有实验系列中级专业技术职称和10年及以上工作经历。主持完成地厅级及以上课题或获得地厅级及以上政府学术奖项或以第一发明人身份获得发明专利者年龄放宽至45周岁。</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72</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环境工程实验技术人员</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35周岁以下，硕士研究生及以上学历学位环境工程专业，并具有统招本科学历学士学位专业不限和5年及以上工作经历。专职从事实验与实践教学管理工作满3年且本人或所在集体获地厅级及以上荣誉称号者年龄放宽至40周岁以下。</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73</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青马工程实践平台指导教师</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35周岁以下，中共党员（含预备党员），硕士研究生及以上学历学位马克思主义中国化研究专业，并具有统招本科学历学士学位专业不限和5年及以上工作经历。专职从事学生思政教育实践指导工作满3年且本人或所在集体获地厅级及以上荣誉称号者年龄放宽至40周岁以下。</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74</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党政办公室工作人员</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中共党员（含预备党员），硕士研究生及以上学历学位思想政治教育、国际政治、中共党史专业，并具有统招本科学历学士学位专业不限，具有研究系列、教师系列中级专业技术职称和5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75</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教育基金管理办公室工作人员</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35周岁以下，硕士研究生及以上学历学位金融学、财政学专业，并具有统招本科学历学士学位专业不限和5年及以上工作经历。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76</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图书馆工作人员1</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40周岁以下，硕士研究生及以上学历学位英语语言文学、外国语言学及应用语言学（英语方向）专业，并具有统招本科学历学士学位专业不限，具有研究、图书系列中级专业技术职称和5年及以上工作经历。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77</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图书馆工作人员2</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40周岁以下，硕士研究生及以上学历学位软件工程、计算机应用技术专业，并具有统招本科学历学士学位，具有研究、图书系列中级专业技术职称和5年及以上工作经历。</w:t>
            </w:r>
          </w:p>
        </w:tc>
        <w:tc>
          <w:tcPr>
            <w:tcW w:w="2640" w:type="dxa"/>
            <w:tcBorders>
              <w:top w:val="nil"/>
              <w:left w:val="single" w:color="auto" w:sz="6" w:space="0"/>
              <w:bottom w:val="nil"/>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78</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吉林建筑大学</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图书馆工作人员3</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芥竟" w:hAnsi="芥竟" w:eastAsia="芥竟"/>
                <w:color w:val="000000"/>
                <w:sz w:val="18"/>
              </w:rPr>
            </w:pPr>
            <w:r>
              <w:rPr>
                <w:rFonts w:hint="eastAsia" w:ascii="芥竟" w:hAnsi="芥竟" w:eastAsia="芥竟"/>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r>
              <w:rPr>
                <w:rFonts w:hint="eastAsia" w:ascii="芥竟" w:hAnsi="芥竟" w:eastAsia="芥竟"/>
                <w:color w:val="000000"/>
                <w:sz w:val="18"/>
              </w:rPr>
              <w:t>40周岁以下，硕士研究生及以上学历学位建筑学专业，并具有统招本科学历学士学位专业不限，具有研究、图书系列中级专业技术职称和5年及以上工作经历。</w:t>
            </w:r>
          </w:p>
        </w:tc>
        <w:tc>
          <w:tcPr>
            <w:tcW w:w="2640" w:type="dxa"/>
            <w:tcBorders>
              <w:top w:val="nil"/>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芥竟" w:hAnsi="芥竟" w:eastAsia="芥竟"/>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79</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吉林电子信息职业技术学院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信息安全与管理专业教师</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信息与通信工程、计算机科学与技术、网络空间安全、计算机技术、信息安全专业，并具有统招本科学历学士学位网络空间安全、信息安全、计算机科学与技术、电子信息工程、网络工程、软件工程、通信工程专业。</w:t>
            </w:r>
          </w:p>
        </w:tc>
        <w:tc>
          <w:tcPr>
            <w:tcW w:w="2640" w:type="dxa"/>
            <w:tcBorders>
              <w:top w:val="single" w:color="auto" w:sz="6" w:space="0"/>
              <w:left w:val="single" w:color="auto" w:sz="6" w:space="0"/>
              <w:bottom w:val="nil"/>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报名邮箱：jdrsc612@163.com。咨询电话：0432-63426611、0432-63426612；联系人：许鸿斌，蓝蓝；纪检监督电话：0432-63426615。</w:t>
            </w: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80</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吉林电子信息职业技术学院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思想政治教育专业教师1</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35周岁以下，男性，中共党员（含预备党员），硕士研究生及以上学历学位马克思主义理论、学科教育（思政）专业，并具有统招本科学历学士学位马克思主义理论类专业。</w:t>
            </w:r>
          </w:p>
        </w:tc>
        <w:tc>
          <w:tcPr>
            <w:tcW w:w="2640" w:type="dxa"/>
            <w:tcBorders>
              <w:top w:val="nil"/>
              <w:left w:val="single" w:color="auto" w:sz="6" w:space="0"/>
              <w:bottom w:val="nil"/>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81</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吉林电子信息职业技术学院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思想政治教育专业教师2</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35周岁以下，女性，中共党员（含预备党员），硕士研究生及以上学历学位马克思主义理论、学科教育（思政），并具有统招本科学历学士学位马克思主义理论类专业。</w:t>
            </w:r>
          </w:p>
        </w:tc>
        <w:tc>
          <w:tcPr>
            <w:tcW w:w="2640" w:type="dxa"/>
            <w:tcBorders>
              <w:top w:val="nil"/>
              <w:left w:val="single" w:color="auto" w:sz="6" w:space="0"/>
              <w:bottom w:val="nil"/>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82</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吉林电子信息职业技术学院</w:t>
            </w:r>
          </w:p>
        </w:tc>
        <w:tc>
          <w:tcPr>
            <w:tcW w:w="141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室内设计专业教师</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40周岁以下，统招本科学历学士学位环境设计、建筑学专业，或硕士研究生及以上学历学位建筑学专业，具有工程、教师系列中级及以上专业技术职称和1年及以上装饰设计工作经历。</w:t>
            </w:r>
          </w:p>
        </w:tc>
        <w:tc>
          <w:tcPr>
            <w:tcW w:w="2640" w:type="dxa"/>
            <w:tcBorders>
              <w:top w:val="nil"/>
              <w:left w:val="single" w:color="auto" w:sz="6" w:space="0"/>
              <w:bottom w:val="nil"/>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83</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吉林电子信息职业技术学院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信息技术学院艺术设计专业教师</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40周岁以下，统招本科学历学士学位艺术设计专业，或硕士研究生及以上学历学位设计艺术学专业，具有高校教师系列中级中级及以上专业技术职称。</w:t>
            </w:r>
          </w:p>
        </w:tc>
        <w:tc>
          <w:tcPr>
            <w:tcW w:w="2640" w:type="dxa"/>
            <w:tcBorders>
              <w:top w:val="nil"/>
              <w:left w:val="single" w:color="auto" w:sz="6" w:space="0"/>
              <w:bottom w:val="nil"/>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84</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吉林电子信息职业技术学院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现代服务学院应用韩语教师</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40周岁以下，统招本科学历学士学位朝鲜语专业，或硕士研究生及以上学历学位朝鲜语笔译、朝鲜语口译专业，具有高校教师系列中级及以上专业技术职称。</w:t>
            </w:r>
          </w:p>
        </w:tc>
        <w:tc>
          <w:tcPr>
            <w:tcW w:w="2640" w:type="dxa"/>
            <w:tcBorders>
              <w:top w:val="nil"/>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85</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吉林财经大学</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公共外语教研部英语专业教师</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35周岁以下，硕士研究生及以上学历学位英语语言文学、外国语言学及应用语言学（英语方向）专业，并具有统招本科学历学士学位专业不限。</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报名邮箱：rczp@jlufe.edu.cn。咨询电话：84539085；传真：88912767；联系人：毛浩良；纪检监督电话：84539030。</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86</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吉林广播电视大学</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护理学专业教师</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35周岁以下，硕士研究生及以上学历学位护理学专业，并具有统招本科学历学士学位专业不限。</w:t>
            </w:r>
          </w:p>
        </w:tc>
        <w:tc>
          <w:tcPr>
            <w:tcW w:w="2640" w:type="dxa"/>
            <w:tcBorders>
              <w:top w:val="single" w:color="auto" w:sz="6" w:space="0"/>
              <w:left w:val="single" w:color="auto" w:sz="6" w:space="0"/>
              <w:bottom w:val="nil"/>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报名邮箱：353013277@qq.com</w:t>
            </w:r>
          </w:p>
          <w:p>
            <w:pPr>
              <w:spacing w:beforeLines="0" w:afterLines="0"/>
              <w:jc w:val="left"/>
              <w:rPr>
                <w:rFonts w:hint="eastAsia" w:ascii="宋体" w:hAnsi="宋体"/>
                <w:color w:val="000000"/>
                <w:sz w:val="18"/>
              </w:rPr>
            </w:pPr>
            <w:r>
              <w:rPr>
                <w:rFonts w:hint="eastAsia" w:ascii="宋体" w:hAnsi="宋体"/>
                <w:color w:val="000000"/>
                <w:sz w:val="18"/>
              </w:rPr>
              <w:t>。咨询电话：85379226</w:t>
            </w:r>
          </w:p>
          <w:p>
            <w:pPr>
              <w:spacing w:beforeLines="0" w:afterLines="0"/>
              <w:jc w:val="left"/>
              <w:rPr>
                <w:rFonts w:hint="eastAsia" w:ascii="宋体" w:hAnsi="宋体"/>
                <w:color w:val="000000"/>
                <w:sz w:val="18"/>
              </w:rPr>
            </w:pPr>
            <w:r>
              <w:rPr>
                <w:rFonts w:hint="eastAsia" w:ascii="宋体" w:hAnsi="宋体"/>
                <w:color w:val="000000"/>
                <w:sz w:val="18"/>
              </w:rPr>
              <w:t>；传真：85379226；联系人：董伟宁；纪检监督电话：85379175</w:t>
            </w:r>
          </w:p>
          <w:p>
            <w:pPr>
              <w:spacing w:beforeLines="0" w:afterLines="0"/>
              <w:jc w:val="left"/>
              <w:rPr>
                <w:rFonts w:hint="eastAsia" w:ascii="宋体" w:hAnsi="宋体"/>
                <w:color w:val="000000"/>
                <w:sz w:val="18"/>
              </w:rPr>
            </w:pPr>
            <w:r>
              <w:rPr>
                <w:rFonts w:hint="eastAsia" w:ascii="宋体" w:hAnsi="宋体"/>
                <w:color w:val="000000"/>
                <w:sz w:val="18"/>
              </w:rPr>
              <w:t>。</w:t>
            </w: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87</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吉林广播电视大学</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计算机科学与技术专业教师</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35周岁以下，硕士研究生及以上学历学位计算机科学与技术专业，并具有统招本科学历学士学位专业不限。</w:t>
            </w:r>
          </w:p>
        </w:tc>
        <w:tc>
          <w:tcPr>
            <w:tcW w:w="2640" w:type="dxa"/>
            <w:tcBorders>
              <w:top w:val="nil"/>
              <w:left w:val="single" w:color="auto" w:sz="6" w:space="0"/>
              <w:bottom w:val="nil"/>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88</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吉林广播电视大学</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电子科学与技术专业教师</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财政拨款</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35周岁以下，硕士研究生及以上学历学位电子科学与技术专业，并具有统招本科学历学士学位专业不限。</w:t>
            </w:r>
          </w:p>
        </w:tc>
        <w:tc>
          <w:tcPr>
            <w:tcW w:w="2640" w:type="dxa"/>
            <w:tcBorders>
              <w:top w:val="nil"/>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89</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超声心电科医生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35周岁以下，硕士研究生及以上学历学位影像医学与核医学专业，具有医师资格证书。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报名邮箱：renshike465@163.com。咨询电话：0432-64560663，联系人：孙京，传真：0432-64560663，纪检监督电话：0432-64560652。</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90</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病理科医生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35周岁以下，硕士研究生及以上学历学位病理学与病理生理学专业，具有医师资格证书。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91</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儿科医生1</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35周岁以下，硕士研究生及以上学历学位儿科学专业，具有医师资格证书。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92</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肾内科医生1</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35周岁以下，硕士研究生及以上学历学位内科学专业，具有医师资格证书。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93</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泌尿外科医生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35周岁以下，硕士研究生及以上学历学位外科学专业，具有医师资格证书。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94</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胸外科医生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35周岁以下，硕士研究生及以上学历学位外科学专业，具有医师资格证书。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95</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神经外科医生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35周岁以下，硕士研究生及以上学历学位外科学专业，具有医师资格证书。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96</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急诊科外科医生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35周岁以下，硕士研究生及以上学历学位外科学专业，具有医师资格证书。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97</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耳鼻咽喉科医生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35周岁以下，硕士研究生及以上学历学位耳鼻咽喉科学专业，具有医师资格证书。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98</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神经内科一疗区医生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35周岁以下，硕士研究生及以上学历学位内科学、神经病学专业，具有医师资格证书。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99</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神经内科二疗区医生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35周岁以下，硕士研究生及以上学历学位内科学、神经病学专业，具有医师资格证书。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100</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康复医学科医生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35周岁以下，硕士研究生及以上学历学位内科学、康复医学与理疗学专业，具有医师资格证书。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101</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普通外科医生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35周岁以下，硕士研究生及以上学历学位外科学专业，具有医师资格证书。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102</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疼痛科医生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35周岁以下，硕士研究生及以上学历学位麻醉学、外科学专业，具有医师资格证书。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103</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皮肤科医生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35周岁以下，硕士研究生及以上学历学位皮肤病与性病学专业，具有医师资格证书。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104</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内分泌血液科医生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35周岁以下，硕士研究生及以上学历学位内科学专业，具有医师资格证书。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105</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肿瘤介入科医生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35周岁以下，硕士研究生及以上学历学位内科学、肿瘤学专业，具有医师资格证书。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106</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急诊监护病房内科医生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35周岁以下，硕士研究生及以上学历学位内科学专业，具有医师资格证书。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107</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急诊监护病房外科医生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35周岁以下，硕士研究生及以上学历学位外科学专业，具有医师资格证书。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108</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麻醉科医生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35周岁以下，硕士研究生及以上学历学位麻醉学专业，具有医师资格证书。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109</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口腔外科医生</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副高级专业技术岗位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45周岁以下，硕士研究生及以上学历学位口腔医学专业，具有副主任医师专业技术职称和医师执业证书。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110</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手足外科组医生</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35周岁以下，硕士研究生及以上学历学位外科学专业，具有医师资格证书。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111</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骨科医生</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35周岁以下，硕士研究生及以上学历学位外科学专业，具有医师资格证书。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112</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急诊监护病房急诊医生</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35周岁以下，硕士研究生及以上学历学位急诊医学专业，具有医师资格证书。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113</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肾内科医生2</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40周岁以下，硕士研究生及以上学历学位内科学专业，具有主治医师专业技术职称和医师执业证书。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114</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儿科医生2</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中级专业技术岗位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40周岁以下，统招本科学历学士学位临床医学专业，或硕士研究生及以上学历学位儿科学专业，并具有主治医师专业技术职称和医师执业证书。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115</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皮肤科美容医生</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35周岁以下，硕士研究生及以上学历学位皮肤病与性病学专业，具有医师资格证书。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116</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心血管内科二疗区介入医生</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副高级专业技术岗位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45周岁以下，硕士研究生及以上学历学位内科学专业，具有副主任医师专业技术职称和医师执业证书。具有心律失常介入诊治资格的年龄可适当放宽。</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117</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神经内科一疗区介入医生</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35周岁以下，硕士研究生及以上学历学位内科学、神经病学专业，具有医师资格证书。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118</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消化内科医生</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35周岁以下，硕士研究生及以上学历学位内科学专业，具有医师资格证书。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119</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检验科技师</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2</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35周岁以下，硕士研究生及以上学历学位临床检验诊断学专业，并具有统招本科学历学士学位医学检验技术专业。</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120</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感控科医生</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35周岁以下，硕士研究生及以上学历学位流行病与卫生统计学、劳动卫生与环境卫生学专业。</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121</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医务科科员</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35周岁以下，硕士研究生及以上学历学位临床医学、内科学、外科学专业，本科为临床医学专业，具有医师资格证书。</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122</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信息科工程师</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35周岁以下，硕士研究生及以上学历学位计算机科学与技术专业。</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123</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人事科科员</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35周岁以下，硕士研究生及以上学历学位社会医学与卫生事业管理、企业管理（人力资源管理方向）专业。</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124</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科教科科员</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35周岁以下，硕士研究生及以上学历学位课程与教学论、高等教育学专业。</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125</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物资保障部工程师</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35周岁以下，硕士研究生及以上学历学位生物工程专业。</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126</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纪检监察科科员</w:t>
            </w:r>
          </w:p>
        </w:tc>
        <w:tc>
          <w:tcPr>
            <w:tcW w:w="72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九级管理岗位</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35周岁以下，硕士研究生及以上学历学位法学（二级学科）专业。</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127</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吉林省教育厅</w:t>
            </w:r>
          </w:p>
        </w:tc>
        <w:tc>
          <w:tcPr>
            <w:tcW w:w="11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吉林医药学院附属医院</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党政办公室职员</w:t>
            </w:r>
          </w:p>
        </w:tc>
        <w:tc>
          <w:tcPr>
            <w:tcW w:w="72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九级管理岗位</w:t>
            </w:r>
          </w:p>
        </w:tc>
        <w:tc>
          <w:tcPr>
            <w:tcW w:w="70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35周岁以下，中共党员（含预备党员），硕士研究生及以上学历学位马克思主义理论、历史学（学科门类）专业。</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FF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4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128</w:t>
            </w:r>
          </w:p>
        </w:tc>
        <w:tc>
          <w:tcPr>
            <w:tcW w:w="6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吉林省文化和旅游厅</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吉林省交响乐团</w:t>
            </w:r>
          </w:p>
        </w:tc>
        <w:tc>
          <w:tcPr>
            <w:tcW w:w="14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西洋音乐作曲</w:t>
            </w:r>
          </w:p>
        </w:tc>
        <w:tc>
          <w:tcPr>
            <w:tcW w:w="72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初级专业技术岗位</w:t>
            </w:r>
          </w:p>
        </w:tc>
        <w:tc>
          <w:tcPr>
            <w:tcW w:w="7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财政补助</w:t>
            </w:r>
          </w:p>
        </w:tc>
        <w:tc>
          <w:tcPr>
            <w:tcW w:w="51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59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35周岁以下，硕士研究生及以上学历学位音乐学（作曲方向）、音乐（作曲方向）专业，本科须为统招学历学位作曲与作曲技术理论专业，具有两首独立完成的器乐作品和独立作曲编曲能力。</w:t>
            </w:r>
          </w:p>
        </w:tc>
        <w:tc>
          <w:tcPr>
            <w:tcW w:w="26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报名邮箱：18584332739@163.com。咨询电话：88520019；传真：88520019；联系人：张立新；纪检监督电话：85614168。</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面试形式：西洋音乐现场作曲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75"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2"/>
              </w:rPr>
            </w:pPr>
          </w:p>
        </w:tc>
        <w:tc>
          <w:tcPr>
            <w:tcW w:w="690"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2"/>
              </w:rPr>
            </w:pPr>
          </w:p>
        </w:tc>
        <w:tc>
          <w:tcPr>
            <w:tcW w:w="1185"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2"/>
              </w:rPr>
            </w:pPr>
          </w:p>
        </w:tc>
        <w:tc>
          <w:tcPr>
            <w:tcW w:w="1410"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2"/>
              </w:rPr>
            </w:pPr>
          </w:p>
        </w:tc>
        <w:tc>
          <w:tcPr>
            <w:tcW w:w="720"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2"/>
              </w:rPr>
            </w:pPr>
          </w:p>
        </w:tc>
        <w:tc>
          <w:tcPr>
            <w:tcW w:w="705"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2"/>
              </w:rPr>
            </w:pPr>
          </w:p>
        </w:tc>
        <w:tc>
          <w:tcPr>
            <w:tcW w:w="512" w:type="dxa"/>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22"/>
              </w:rPr>
            </w:pPr>
            <w:r>
              <w:rPr>
                <w:rFonts w:hint="eastAsia" w:ascii="宋体" w:hAnsi="宋体"/>
                <w:color w:val="000000"/>
                <w:sz w:val="22"/>
              </w:rPr>
              <w:t>183</w:t>
            </w:r>
          </w:p>
        </w:tc>
        <w:tc>
          <w:tcPr>
            <w:tcW w:w="5970"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2"/>
              </w:rPr>
            </w:pPr>
          </w:p>
        </w:tc>
        <w:tc>
          <w:tcPr>
            <w:tcW w:w="2640"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2"/>
              </w:rPr>
            </w:pPr>
          </w:p>
        </w:tc>
        <w:tc>
          <w:tcPr>
            <w:tcW w:w="1260"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2"/>
              </w:rPr>
            </w:pPr>
          </w:p>
        </w:tc>
      </w:tr>
    </w:tbl>
    <w:p>
      <w:bookmarkStart w:id="0" w:name="_GoBack"/>
      <w:bookmarkEnd w:id="0"/>
    </w:p>
    <w:sectPr>
      <w:pgSz w:w="23757" w:h="16783" w:orient="landscape"/>
      <w:pgMar w:top="1800" w:right="1440" w:bottom="1800" w:left="144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芥竟">
    <w:altName w:val="Malgun Gothic"/>
    <w:panose1 w:val="00000000000000000000"/>
    <w:charset w:val="81"/>
    <w:family w:val="auto"/>
    <w:pitch w:val="default"/>
    <w:sig w:usb0="00000000" w:usb1="00000000" w:usb2="00000000" w:usb3="00000000" w:csb0="00080000" w:csb1="0000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EAF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2020-10-23T04:17:00Z</dcterms:created>
  <dc:creator>那时花开咖啡馆。</dc:creator>
  <cp:lastModifiedBy>那时花开咖啡馆。</cp:lastModifiedBy>
  <dcterms:modified xsi:type="dcterms:W3CDTF">2020-10-23T08:00:43Z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