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rPr>
          <w:rFonts w:hint="default" w:asciiTheme="minorEastAsia" w:hAnsiTheme="minorEastAsia"/>
          <w:b/>
          <w:color w:val="44546A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Theme="minorEastAsia" w:hAnsiTheme="minorEastAsia"/>
          <w:b/>
          <w:color w:val="44546A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  <w:t>附件1</w:t>
      </w:r>
    </w:p>
    <w:p>
      <w:pPr>
        <w:ind w:firstLine="0" w:firstLineChars="0"/>
        <w:jc w:val="center"/>
        <w:rPr>
          <w:rFonts w:hint="default" w:asciiTheme="minorEastAsia" w:hAnsiTheme="minorEastAsia" w:eastAsiaTheme="minorEastAsia"/>
          <w:b/>
          <w:color w:val="44546A" w:themeColor="text2"/>
          <w:sz w:val="40"/>
          <w:szCs w:val="44"/>
          <w:lang w:val="en-US"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Theme="minorEastAsia" w:hAnsiTheme="minorEastAsia"/>
          <w:b/>
          <w:color w:val="44546A" w:themeColor="text2"/>
          <w:sz w:val="40"/>
          <w:szCs w:val="44"/>
          <w:lang w:val="en-US" w:eastAsia="zh-CN"/>
          <w14:textFill>
            <w14:solidFill>
              <w14:schemeClr w14:val="tx2"/>
            </w14:solidFill>
          </w14:textFill>
        </w:rPr>
        <w:t>商丘广播电视台公开招聘（引进）岗位表</w:t>
      </w:r>
    </w:p>
    <w:tbl>
      <w:tblPr>
        <w:tblStyle w:val="3"/>
        <w:tblW w:w="8334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1"/>
        <w:gridCol w:w="1305"/>
        <w:gridCol w:w="2274"/>
        <w:gridCol w:w="2001"/>
        <w:gridCol w:w="1290"/>
        <w:gridCol w:w="90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岗位名称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专业要求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年龄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新媒体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网络与新媒体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全日制硕士研究生（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含2017年以后国家统招的非全日制研究生）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5周岁以下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工程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电子信息科学与技术、数字传媒技术、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物联网技术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全日制硕士研究生（含2017年以后国家统招的非全日制研究生）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5周岁以下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技术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灯光、音响、舞美设计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全日制硕士研究生（含2017年以后国家统招的非全日制研究生）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5周岁以下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制作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影视后期制作（含动漫制作、3D、AE、影视动画）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全日制硕士研究生（含2017年以后国家统招的非全日制研究生）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5周岁以下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专题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经济法学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全日制硕士研究生（含2017年以后国家统招的非全日制研究生）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5周岁以下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新闻编采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新闻传播学、汉语言文学、广播电视编导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全日制硕士研究生（含2017年以后国家统招的非全日制研究生）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5周岁以下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大活动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播音与主持、艺术设计、表演艺术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全日制硕士研究生（含2017年以后国家统招的非全日制研究生）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5周岁以下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7420F"/>
    <w:rsid w:val="05345B3D"/>
    <w:rsid w:val="2BE7420F"/>
    <w:rsid w:val="46265330"/>
    <w:rsid w:val="47474C28"/>
    <w:rsid w:val="48101FEC"/>
    <w:rsid w:val="5705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2020-10-22T01:46:00Z</dcterms:created>
  <dc:creator>熙喜</dc:creator>
  <cp:lastModifiedBy>熙喜</cp:lastModifiedBy>
  <dcterms:modified xsi:type="dcterms:W3CDTF">2020-10-22T08:27:41Z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