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line="60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成都市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青白江区中医医院集团2020年第四季度招聘需求表</w:t>
      </w:r>
    </w:p>
    <w:bookmarkEnd w:id="0"/>
    <w:tbl>
      <w:tblPr>
        <w:tblStyle w:val="4"/>
        <w:tblpPr w:leftFromText="180" w:rightFromText="180" w:vertAnchor="text" w:horzAnchor="page" w:tblpX="1536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9"/>
        <w:gridCol w:w="1350"/>
        <w:gridCol w:w="1139"/>
        <w:gridCol w:w="1620"/>
        <w:gridCol w:w="1890"/>
        <w:gridCol w:w="6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黑体简体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>报送单位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黑体简体" w:eastAsia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9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方正黑体简体" w:eastAsia="方正黑体简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方正黑体简体" w:eastAsia="方正黑体简体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学  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黑体简体" w:eastAsia="方正黑体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eastAsia="方正黑体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6158" w:type="dxa"/>
            <w:noWrap w:val="0"/>
            <w:vAlign w:val="top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集团清泉医院（11人）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外科医师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2.有外科工作经验或经历者，具有执业医师资格证书者优先。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妇科医师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2.执业范围妇产科专业和母婴保健技术计划生育资格认定合格者优先。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影像医师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2.有医学影像工作经验或经历者，具有执业医师资格证书者优先。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超声医师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2.有超声工作经验或经历者，</w:t>
            </w: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  <w:t>有执业</w:t>
            </w: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医师</w:t>
            </w:r>
            <w:r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  <w:t>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中医康复技师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康复治疗学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2.具有执业资格证书者优先。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1.年龄30岁及以下(1990年10月1日后出生)。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2.具有护士执业资格证书者优先。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集团福洪医院（2人）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临床医生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临床医学或中西医结合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 xml:space="preserve">1.年龄35岁及以下(1985年10月1日后出生)。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2.具有执业助理医师及以上资格。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办公室工作人员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文秘、行政管理等相关专业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 xml:space="preserve">1.年龄35岁及以下(1985年10月1日后出生)。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2.公文写作能力佳者优先。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集团红阳医院（1人）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胃肠肛肠科医生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临床医学或中西医结合</w:t>
            </w: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年龄30岁及以下(1990年10月1日后出生)。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  <w:t>2.取得执业助理医师资格证书。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  <w:t xml:space="preserve">3.有三级医院进修经历优先。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color w:val="auto"/>
                <w:sz w:val="21"/>
                <w:szCs w:val="21"/>
                <w:lang w:val="en-US" w:eastAsia="zh-CN"/>
              </w:rPr>
              <w:t>4.有一定的临床工作经验，能独立完成诊治工作。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简体" w:eastAsia="方正仿宋简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eastAsia="方正仿宋简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134" w:right="1474" w:bottom="113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C7063"/>
    <w:rsid w:val="1CA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2020-10-14T01:43:00Z</dcterms:created>
  <dc:creator>WangDashi</dc:creator>
  <cp:lastModifiedBy>WangDashi</cp:lastModifiedBy>
  <dcterms:modified xsi:type="dcterms:W3CDTF">2020-10-14T01:44:16Z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