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面试考生须知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一、考生须按照公布的面试时间及考场安排，在面试开考前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宋体" w:eastAsia="仿宋_GB2312"/>
          <w:sz w:val="32"/>
          <w:szCs w:val="32"/>
        </w:rPr>
        <w:t>分钟（即上午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、下午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前），凭本人准考证和身份证到指定考场报到。未能依时报到的，按自动放弃面试资格处理。</w:t>
      </w:r>
    </w:p>
    <w:p>
      <w:pPr>
        <w:ind w:firstLine="64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二、考生报到后，在侯考室按分组顺序坐好，将所携带的通讯工具等设备关闭后连同背包、书包等其他物品交工作人员统一保管，面试结束后到侯分室签领成绩时领回。</w:t>
      </w:r>
    </w:p>
    <w:p>
      <w:pPr>
        <w:ind w:firstLine="64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面试开始后，工作人员逐一引导考生进入面试室面试。侯考的考生实行封闭管理，须在侯考室静候，不得喧哗，不得影响他人，应服从工作人员的管理，不得擅自离开侯考室。需上洗手间的，应经工作人员同意，并由工作人员陪同前往。侯考的考生需离开考场的，应书面提出申请，经考场主考同意后按弃考处理。严禁任何人向考生传递试题信息。</w:t>
      </w:r>
    </w:p>
    <w:p>
      <w:pPr>
        <w:ind w:firstLine="64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考生必须以普通话回答考官提问。在面试中，应严格按照考官的提问回答，不得报告、透露或暗示个人信息，其身份以编码显示。如考生透露个人信息，按违规处理，取消面试成绩。考生对考官的提问不清楚的，可要求考官重新念题（所需时间占用本人答题时间）。</w:t>
      </w:r>
    </w:p>
    <w:p>
      <w:pPr>
        <w:ind w:firstLine="64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五、面试结束后，考生到侯分室等待签收面试成绩，拿到面试成绩后带好个人物品离开考场，不得在考场附件逗留。</w:t>
      </w:r>
    </w:p>
    <w:p>
      <w:pPr>
        <w:ind w:firstLine="64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六、考生应接受现场工作人员的管理，对违反面试规定的，取消报考资格。考试结果请留意</w:t>
      </w:r>
      <w:r>
        <w:rPr>
          <w:rFonts w:hint="eastAsia" w:ascii="仿宋_GB2312" w:hAnsi="仿宋_GB2312" w:eastAsia="仿宋_GB2312"/>
          <w:kern w:val="0"/>
          <w:sz w:val="32"/>
          <w:shd w:val="clear" w:color="auto" w:fill="FFFFFF"/>
        </w:rPr>
        <w:t>河源市政府门户网站（</w:t>
      </w:r>
      <w:r>
        <w:rPr>
          <w:rFonts w:ascii="仿宋_GB2312" w:hAnsi="仿宋_GB2312" w:eastAsia="仿宋_GB2312"/>
          <w:kern w:val="0"/>
          <w:sz w:val="32"/>
          <w:shd w:val="clear" w:color="auto" w:fill="FFFFFF"/>
        </w:rPr>
        <w:fldChar w:fldCharType="begin"/>
      </w:r>
      <w:r>
        <w:rPr>
          <w:rFonts w:ascii="仿宋_GB2312" w:hAnsi="仿宋_GB2312" w:eastAsia="仿宋_GB2312"/>
          <w:kern w:val="0"/>
          <w:sz w:val="32"/>
          <w:shd w:val="clear" w:color="auto" w:fill="FFFFFF"/>
        </w:rPr>
        <w:instrText xml:space="preserve"> HYPERLINK "http://www.</w:instrText>
      </w:r>
      <w:r>
        <w:rPr>
          <w:rFonts w:hint="eastAsia" w:ascii="仿宋_GB2312" w:hAnsi="仿宋_GB2312" w:eastAsia="仿宋_GB2312"/>
          <w:kern w:val="0"/>
          <w:sz w:val="32"/>
          <w:shd w:val="clear" w:color="auto" w:fill="FFFFFF"/>
        </w:rPr>
        <w:instrText xml:space="preserve">heyuan</w:instrText>
      </w:r>
      <w:r>
        <w:rPr>
          <w:rFonts w:ascii="仿宋_GB2312" w:hAnsi="仿宋_GB2312" w:eastAsia="仿宋_GB2312"/>
          <w:kern w:val="0"/>
          <w:sz w:val="32"/>
          <w:shd w:val="clear" w:color="auto" w:fill="FFFFFF"/>
        </w:rPr>
        <w:instrText xml:space="preserve">.gov.cn" </w:instrText>
      </w:r>
      <w:r>
        <w:rPr>
          <w:rFonts w:ascii="仿宋_GB2312" w:hAnsi="仿宋_GB2312" w:eastAsia="仿宋_GB2312"/>
          <w:kern w:val="0"/>
          <w:sz w:val="32"/>
          <w:shd w:val="clear" w:color="auto" w:fill="FFFFFF"/>
        </w:rPr>
        <w:fldChar w:fldCharType="separate"/>
      </w:r>
      <w:r>
        <w:rPr>
          <w:rStyle w:val="5"/>
          <w:rFonts w:ascii="仿宋_GB2312" w:hAnsi="仿宋_GB2312" w:eastAsia="仿宋_GB2312"/>
          <w:kern w:val="0"/>
          <w:sz w:val="32"/>
          <w:shd w:val="clear" w:color="auto" w:fill="FFFFFF"/>
        </w:rPr>
        <w:t>www.</w:t>
      </w:r>
      <w:r>
        <w:rPr>
          <w:rStyle w:val="5"/>
          <w:rFonts w:hint="eastAsia" w:ascii="仿宋_GB2312" w:hAnsi="仿宋_GB2312" w:eastAsia="仿宋_GB2312"/>
          <w:kern w:val="0"/>
          <w:sz w:val="32"/>
          <w:shd w:val="clear" w:color="auto" w:fill="FFFFFF"/>
        </w:rPr>
        <w:t>heyuan</w:t>
      </w:r>
      <w:r>
        <w:rPr>
          <w:rStyle w:val="5"/>
          <w:rFonts w:ascii="仿宋_GB2312" w:hAnsi="仿宋_GB2312" w:eastAsia="仿宋_GB2312"/>
          <w:kern w:val="0"/>
          <w:sz w:val="32"/>
          <w:shd w:val="clear" w:color="auto" w:fill="FFFFFF"/>
        </w:rPr>
        <w:t>.gov.cn</w:t>
      </w:r>
      <w:r>
        <w:rPr>
          <w:rFonts w:ascii="仿宋_GB2312" w:hAnsi="仿宋_GB2312" w:eastAsia="仿宋_GB2312"/>
          <w:kern w:val="0"/>
          <w:sz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/>
          <w:kern w:val="0"/>
          <w:sz w:val="32"/>
          <w:shd w:val="clear" w:color="auto" w:fill="FFFFFF"/>
          <w:lang w:val="en-US" w:eastAsia="zh-CN"/>
        </w:rPr>
        <w:t>/web/jyhgajgsgg/</w:t>
      </w:r>
      <w:r>
        <w:rPr>
          <w:rFonts w:ascii="仿宋_GB2312" w:hAnsi="仿宋_GB2312" w:eastAsia="仿宋_GB2312"/>
          <w:kern w:val="0"/>
          <w:sz w:val="32"/>
          <w:shd w:val="clear" w:color="auto" w:fill="FFFFFF"/>
        </w:rPr>
        <w:t>）</w:t>
      </w:r>
      <w:r>
        <w:rPr>
          <w:rFonts w:hint="eastAsia" w:ascii="仿宋_GB2312" w:hAnsi="仿宋_GB2312" w:eastAsia="仿宋_GB2312"/>
          <w:kern w:val="0"/>
          <w:sz w:val="32"/>
          <w:shd w:val="clear" w:color="auto" w:fill="FFFFFF"/>
          <w:lang w:eastAsia="zh-CN"/>
        </w:rPr>
        <w:t>及河源警事微信公众号</w:t>
      </w:r>
      <w:r>
        <w:rPr>
          <w:rFonts w:hint="eastAsia" w:ascii="仿宋_GB2312" w:hAnsi="宋体" w:eastAsia="仿宋_GB2312"/>
          <w:sz w:val="32"/>
          <w:szCs w:val="32"/>
        </w:rPr>
        <w:t>公告。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B6"/>
    <w:rsid w:val="0021152B"/>
    <w:rsid w:val="002E3D8C"/>
    <w:rsid w:val="00504141"/>
    <w:rsid w:val="008F61A1"/>
    <w:rsid w:val="00910E8B"/>
    <w:rsid w:val="00A61B1C"/>
    <w:rsid w:val="00A91DE4"/>
    <w:rsid w:val="00CC47B6"/>
    <w:rsid w:val="00F3699E"/>
    <w:rsid w:val="42392F63"/>
    <w:rsid w:val="5CC808F4"/>
    <w:rsid w:val="5D90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nhideWhenUsed/>
    <w:uiPriority w:val="99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ga</Company>
  <Pages>2</Pages>
  <Words>84</Words>
  <Characters>484</Characters>
  <Lines>4</Lines>
  <Paragraphs>1</Paragraphs>
  <ScaleCrop>false</ScaleCrop>
  <LinksUpToDate>false</LinksUpToDate>
  <CharactersWithSpaces>567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2017-07-26T07:44:00Z</dcterms:created>
  <dc:creator>501</dc:creator>
  <cp:lastModifiedBy>庄岚茜</cp:lastModifiedBy>
  <dcterms:modified xsi:type="dcterms:W3CDTF">2020-10-14T09:42:26Z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