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both"/>
        <w:rPr>
          <w:rFonts w:hint="eastAsia" w:ascii="仿宋" w:hAnsi="仿宋" w:eastAsia="方正小标宋简体" w:cs="仿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社会大救助社会工作岗位人员分配明细</w:t>
      </w:r>
    </w:p>
    <w:bookmarkEnd w:id="0"/>
    <w:tbl>
      <w:tblPr>
        <w:tblStyle w:val="3"/>
        <w:tblpPr w:leftFromText="180" w:rightFromText="180" w:vertAnchor="text" w:horzAnchor="page" w:tblpX="1958" w:tblpY="85"/>
        <w:tblOverlap w:val="never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244"/>
        <w:gridCol w:w="1693"/>
        <w:gridCol w:w="2359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乡镇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人口（万人）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分配人员（人）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马集镇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3.2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赵官屯镇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3.4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胡官屯镇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3.8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仁里集镇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5.28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潘店镇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5.2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焦庙镇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4.6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刘桥镇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3.7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华店镇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4.09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祝阿镇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5.2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晏城街道办事处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12.5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晏北街道办事处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10.8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表白寺镇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2.7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安头乡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2.21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宣章屯镇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2.43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大黄乡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2.8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社会大救助中心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综合类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11" w:type="dxa"/>
            <w:vAlign w:val="center"/>
          </w:tcPr>
          <w:p>
            <w:pPr>
              <w:tabs>
                <w:tab w:val="left" w:pos="215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vertAlign w:val="baseline"/>
          <w:lang w:val="en-US" w:eastAsia="zh-CN"/>
        </w:rPr>
        <w:t>说明：</w:t>
      </w: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社会大救助社会工作岗位人员分配按照总成绩</w:t>
      </w:r>
      <w:r>
        <w:rPr>
          <w:rFonts w:hint="eastAsia" w:ascii="仿宋" w:hAnsi="仿宋" w:eastAsia="仿宋" w:cs="仿宋"/>
          <w:b/>
          <w:bCs/>
          <w:sz w:val="30"/>
          <w:szCs w:val="30"/>
          <w:vertAlign w:val="baseline"/>
          <w:lang w:val="en-US" w:eastAsia="zh-CN"/>
        </w:rPr>
        <w:t>高分先选</w:t>
      </w: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的原则进行，县社会大救助中心配备4人（其中大救助中心内设1处城区社区社会大救助工作站窗口），乡镇（街道）辖区3万人以上配备2人、3万人以下配备1人，合计30人。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8701E"/>
    <w:rsid w:val="4548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2020-10-14T09:41:00Z</dcterms:created>
  <dc:creator>高瓜瓜</dc:creator>
  <cp:lastModifiedBy>高瓜瓜</cp:lastModifiedBy>
  <dcterms:modified xsi:type="dcterms:W3CDTF">2020-10-14T09:43:05Z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