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3"/>
          <w:szCs w:val="33"/>
        </w:rPr>
        <w:t>附件：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3"/>
          <w:szCs w:val="33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3"/>
          <w:szCs w:val="33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3"/>
          <w:szCs w:val="33"/>
        </w:rPr>
        <w:t>年独山子区消防大队</w:t>
      </w:r>
      <w:r>
        <w:rPr>
          <w:rFonts w:hint="eastAsia" w:ascii="方正小标宋简体" w:hAnsi="宋体" w:eastAsia="方正小标宋简体" w:cs="宋体"/>
          <w:color w:val="000000"/>
          <w:kern w:val="0"/>
          <w:sz w:val="33"/>
          <w:szCs w:val="33"/>
          <w:lang w:val="en-US" w:eastAsia="zh-CN"/>
        </w:rPr>
        <w:t>面向社会</w:t>
      </w:r>
      <w:r>
        <w:rPr>
          <w:rFonts w:hint="eastAsia" w:ascii="方正小标宋简体" w:hAnsi="宋体" w:eastAsia="方正小标宋简体" w:cs="宋体"/>
          <w:color w:val="000000"/>
          <w:kern w:val="0"/>
          <w:sz w:val="33"/>
          <w:szCs w:val="33"/>
        </w:rPr>
        <w:t>公开招聘辅助类消防员体能测评项目标准和积分说明</w:t>
      </w:r>
    </w:p>
    <w:p>
      <w:pPr>
        <w:widowControl/>
        <w:spacing w:before="100" w:beforeAutospacing="1" w:after="100" w:afterAutospacing="1" w:line="600" w:lineRule="exact"/>
        <w:ind w:firstLine="6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3"/>
          <w:szCs w:val="33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3"/>
          <w:szCs w:val="33"/>
        </w:rPr>
        <w:t>一、测评项目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color w:val="000000"/>
          <w:kern w:val="0"/>
          <w:sz w:val="33"/>
          <w:szCs w:val="33"/>
        </w:rPr>
        <w:t> 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3"/>
                <w:szCs w:val="33"/>
              </w:rPr>
              <w:t>项目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3"/>
                <w:szCs w:val="33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10米×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往返跑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≤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″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1000米跑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≤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′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纵跳摸高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≥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33"/>
                <w:szCs w:val="33"/>
              </w:rPr>
              <w:t>265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3"/>
                <w:szCs w:val="33"/>
              </w:rPr>
              <w:t>厘米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color w:val="000000"/>
          <w:kern w:val="0"/>
          <w:sz w:val="33"/>
          <w:szCs w:val="33"/>
        </w:rPr>
        <w:t> </w:t>
      </w:r>
    </w:p>
    <w:p>
      <w:pPr>
        <w:widowControl/>
        <w:spacing w:before="100" w:beforeAutospacing="1" w:after="100" w:afterAutospacing="1" w:line="600" w:lineRule="exact"/>
        <w:ind w:firstLine="6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3"/>
          <w:szCs w:val="33"/>
        </w:rPr>
        <w:t>二、积分说明</w:t>
      </w:r>
    </w:p>
    <w:p>
      <w:pPr>
        <w:widowControl/>
        <w:spacing w:before="100" w:beforeAutospacing="1" w:after="100" w:afterAutospacing="1" w:line="600" w:lineRule="exact"/>
        <w:ind w:firstLine="6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3"/>
          <w:szCs w:val="33"/>
        </w:rPr>
        <w:t>纵跳摸高以跳高高度大于等于265厘米为合格，小于265厘米为不合格；10米×4往返跑和1000米跑成绩积分，第一名以参考人数为基数积最高分，成绩相同积分一样，下一名轮空依次类推往后排，最后一名积1分。最终体能综合评定成绩由纵跳摸高合格的人员，以10米×4往返跑和1000米跑成绩积分总和排名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5"/>
    <w:rsid w:val="00111205"/>
    <w:rsid w:val="3C2C4F5D"/>
    <w:rsid w:val="5D1C7110"/>
    <w:rsid w:val="6E7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2019-12-24T11:37:00Z</dcterms:created>
  <dc:creator>微软用户</dc:creator>
  <cp:lastModifiedBy>ぺ灬cc果冻ル</cp:lastModifiedBy>
  <dcterms:modified xsi:type="dcterms:W3CDTF">2020-10-05T02:11:13Z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