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336" w:type="dxa"/>
        <w:tblInd w:w="0" w:type="dxa"/>
        <w:tblLayout w:type="fixed"/>
        <w:tblCellMar>
          <w:top w:w="0" w:type="dxa"/>
          <w:left w:w="0" w:type="dxa"/>
          <w:bottom w:w="0" w:type="dxa"/>
          <w:right w:w="0" w:type="dxa"/>
        </w:tblCellMar>
      </w:tblPr>
      <w:tblGrid>
        <w:gridCol w:w="1080"/>
        <w:gridCol w:w="1879"/>
        <w:gridCol w:w="518"/>
        <w:gridCol w:w="2764"/>
        <w:gridCol w:w="7095"/>
      </w:tblGrid>
      <w:tr>
        <w:tblPrEx>
          <w:tblCellMar>
            <w:top w:w="0" w:type="dxa"/>
            <w:left w:w="0" w:type="dxa"/>
            <w:bottom w:w="0" w:type="dxa"/>
            <w:right w:w="0" w:type="dxa"/>
          </w:tblCellMar>
        </w:tblPrEx>
        <w:trPr>
          <w:trHeight w:val="640" w:hRule="atLeast"/>
        </w:trPr>
        <w:tc>
          <w:tcPr>
            <w:tcW w:w="1080" w:type="dxa"/>
            <w:tcBorders>
              <w:top w:val="nil"/>
              <w:left w:val="nil"/>
              <w:bottom w:val="nil"/>
              <w:right w:val="nil"/>
            </w:tcBorders>
            <w:noWrap/>
            <w:tcMar>
              <w:top w:w="15" w:type="dxa"/>
              <w:left w:w="15" w:type="dxa"/>
              <w:right w:w="15" w:type="dxa"/>
            </w:tcMar>
            <w:vAlign w:val="center"/>
          </w:tcPr>
          <w:p>
            <w:pPr>
              <w:textAlignment w:val="center"/>
              <w:rPr>
                <w:rFonts w:hint="eastAsia" w:ascii="宋体" w:hAnsi="宋体" w:eastAsia="宋体" w:cs="宋体"/>
                <w:color w:val="000000"/>
              </w:rPr>
            </w:pPr>
            <w:bookmarkStart w:id="0" w:name="_GoBack"/>
            <w:bookmarkEnd w:id="0"/>
            <w:r>
              <w:rPr>
                <w:rFonts w:hint="eastAsia" w:ascii="宋体" w:hAnsi="宋体" w:eastAsia="宋体" w:cs="宋体"/>
                <w:color w:val="000000"/>
              </w:rPr>
              <w:t>附件1</w:t>
            </w:r>
          </w:p>
        </w:tc>
        <w:tc>
          <w:tcPr>
            <w:tcW w:w="1879"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color w:val="000000"/>
              </w:rPr>
            </w:pPr>
          </w:p>
        </w:tc>
        <w:tc>
          <w:tcPr>
            <w:tcW w:w="518"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color w:val="000000"/>
              </w:rPr>
            </w:pPr>
          </w:p>
        </w:tc>
        <w:tc>
          <w:tcPr>
            <w:tcW w:w="276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rPr>
            </w:pPr>
          </w:p>
        </w:tc>
        <w:tc>
          <w:tcPr>
            <w:tcW w:w="709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color w:val="000000"/>
              </w:rPr>
            </w:pPr>
          </w:p>
        </w:tc>
      </w:tr>
      <w:tr>
        <w:tblPrEx>
          <w:tblCellMar>
            <w:top w:w="0" w:type="dxa"/>
            <w:left w:w="0" w:type="dxa"/>
            <w:bottom w:w="0" w:type="dxa"/>
            <w:right w:w="0" w:type="dxa"/>
          </w:tblCellMar>
        </w:tblPrEx>
        <w:trPr>
          <w:trHeight w:val="540" w:hRule="atLeast"/>
        </w:trPr>
        <w:tc>
          <w:tcPr>
            <w:tcW w:w="13336" w:type="dxa"/>
            <w:gridSpan w:val="5"/>
            <w:tcBorders>
              <w:top w:val="nil"/>
              <w:left w:val="nil"/>
              <w:bottom w:val="nil"/>
              <w:right w:val="nil"/>
            </w:tcBorders>
            <w:noWrap/>
            <w:tcMar>
              <w:top w:w="15" w:type="dxa"/>
              <w:left w:w="15" w:type="dxa"/>
              <w:right w:w="15" w:type="dxa"/>
            </w:tcMar>
            <w:vAlign w:val="center"/>
          </w:tcPr>
          <w:p>
            <w:pPr>
              <w:jc w:val="center"/>
              <w:textAlignment w:val="center"/>
              <w:rPr>
                <w:rFonts w:hint="eastAsia" w:ascii="宋体" w:hAnsi="宋体" w:eastAsia="宋体" w:cs="宋体"/>
                <w:color w:val="000000"/>
              </w:rPr>
            </w:pPr>
            <w:r>
              <w:rPr>
                <w:rFonts w:hint="eastAsia" w:ascii="宋体" w:hAnsi="宋体" w:eastAsia="宋体" w:cs="宋体"/>
                <w:color w:val="000000"/>
                <w:sz w:val="30"/>
                <w:szCs w:val="30"/>
              </w:rPr>
              <w:t xml:space="preserve">招聘单位基本情况 </w:t>
            </w:r>
          </w:p>
        </w:tc>
      </w:tr>
      <w:tr>
        <w:tblPrEx>
          <w:tblCellMar>
            <w:top w:w="0" w:type="dxa"/>
            <w:left w:w="0" w:type="dxa"/>
            <w:bottom w:w="0" w:type="dxa"/>
            <w:right w:w="0"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rPr>
              <w:t>主管部门</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招聘单位</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经费形式</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单位地址</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主要职能简介</w:t>
            </w:r>
          </w:p>
        </w:tc>
      </w:tr>
      <w:tr>
        <w:tblPrEx>
          <w:tblCellMar>
            <w:top w:w="0" w:type="dxa"/>
            <w:left w:w="0" w:type="dxa"/>
            <w:bottom w:w="0" w:type="dxa"/>
            <w:right w:w="0" w:type="dxa"/>
          </w:tblCellMar>
        </w:tblPrEx>
        <w:trPr>
          <w:trHeight w:val="1000"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广元市朝天区水利局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广元市朝天区城乡供水总站</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广元市朝天区潜溪路二段130号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主要负责做城乡供水工程的建设和经营管理指导，监督城乡供水质量和安全。</w:t>
            </w:r>
          </w:p>
        </w:tc>
      </w:tr>
      <w:tr>
        <w:tblPrEx>
          <w:tblCellMar>
            <w:top w:w="0" w:type="dxa"/>
            <w:left w:w="0" w:type="dxa"/>
            <w:bottom w:w="0" w:type="dxa"/>
            <w:right w:w="0" w:type="dxa"/>
          </w:tblCellMar>
        </w:tblPrEx>
        <w:trPr>
          <w:trHeight w:val="168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广元市朝天区水利工程建设管理站</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广元市朝天区潜溪路二段130号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主要负责组建项目法人现场建设管理机构；负责办理工程质量监督、开工申请报告报批特拉手续；负责组织制订、上报在建工程渡汛方案，落实安全度汛措施，并对在建工程安全度汛负责；负责按照项目信息公开的要求向项目主管部门提供项目建设管理信息；负责组织编制竣工财务决算；负责工程档案资料的管理，包括对各参建单位所形成档案资料的收集，整理、归档工作进行监督、检查。</w:t>
            </w:r>
          </w:p>
        </w:tc>
      </w:tr>
      <w:tr>
        <w:tblPrEx>
          <w:tblCellMar>
            <w:top w:w="0" w:type="dxa"/>
            <w:left w:w="0" w:type="dxa"/>
            <w:bottom w:w="0" w:type="dxa"/>
            <w:right w:w="0" w:type="dxa"/>
          </w:tblCellMar>
        </w:tblPrEx>
        <w:trPr>
          <w:trHeight w:val="220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广元市朝天区行政审批局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广元市朝天区政务服务和公共资源交易中心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广元市朝天区朝天镇龙门街22号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一、贯彻实施政务服务和公共资源交易服务相关法律、法规和政策，为政务服务和公共资源交易活动提供场所、设施和服务。</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二、负责进入政务服务和公共资源交易中心的事项办理的指导监督。</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三、负责实施政务服务大厅标准化、规范化、便民化的建设和服务工作；负责服务事项清理、办事材料精简、服务流程优化、办事指南规范的指导和管理；负责为企业和群众开展全程代办、协办和上门服务、延时服务、预约服务；负责审批服务事项</w:t>
            </w:r>
            <w:r>
              <w:rPr>
                <w:rFonts w:hint="eastAsia" w:ascii="宋体" w:hAnsi="宋体" w:eastAsia="宋体" w:cs="宋体"/>
                <w:color w:val="000000"/>
                <w:sz w:val="20"/>
                <w:szCs w:val="20"/>
              </w:rPr>
              <w:t>“</w:t>
            </w:r>
            <w:r>
              <w:rPr>
                <w:rFonts w:hint="eastAsia" w:ascii="黑体" w:hAnsi="宋体" w:eastAsia="黑体" w:cs="黑体"/>
                <w:color w:val="000000"/>
                <w:sz w:val="20"/>
                <w:szCs w:val="20"/>
              </w:rPr>
              <w:t>一网办</w:t>
            </w:r>
            <w:r>
              <w:rPr>
                <w:rFonts w:hint="eastAsia" w:ascii="宋体" w:hAnsi="宋体" w:eastAsia="宋体" w:cs="宋体"/>
                <w:color w:val="000000"/>
                <w:sz w:val="20"/>
                <w:szCs w:val="20"/>
              </w:rPr>
              <w:t>”“</w:t>
            </w:r>
            <w:r>
              <w:rPr>
                <w:rFonts w:hint="eastAsia" w:ascii="黑体" w:hAnsi="宋体" w:eastAsia="黑体" w:cs="黑体"/>
                <w:color w:val="000000"/>
                <w:sz w:val="20"/>
                <w:szCs w:val="20"/>
              </w:rPr>
              <w:t>一门办</w:t>
            </w:r>
            <w:r>
              <w:rPr>
                <w:rFonts w:hint="eastAsia" w:ascii="宋体" w:hAnsi="宋体" w:eastAsia="宋体" w:cs="宋体"/>
                <w:color w:val="000000"/>
                <w:sz w:val="20"/>
                <w:szCs w:val="20"/>
              </w:rPr>
              <w:t>”“</w:t>
            </w:r>
            <w:r>
              <w:rPr>
                <w:rFonts w:hint="eastAsia" w:ascii="黑体" w:hAnsi="宋体" w:eastAsia="黑体" w:cs="黑体"/>
                <w:color w:val="000000"/>
                <w:sz w:val="20"/>
                <w:szCs w:val="20"/>
              </w:rPr>
              <w:t>一次办</w:t>
            </w:r>
            <w:r>
              <w:rPr>
                <w:rFonts w:hint="eastAsia" w:ascii="宋体" w:hAnsi="宋体" w:eastAsia="宋体" w:cs="宋体"/>
                <w:color w:val="000000"/>
                <w:sz w:val="20"/>
                <w:szCs w:val="20"/>
              </w:rPr>
              <w:t>”</w:t>
            </w:r>
            <w:r>
              <w:rPr>
                <w:rFonts w:hint="eastAsia" w:ascii="黑体" w:hAnsi="宋体" w:eastAsia="黑体" w:cs="黑体"/>
                <w:color w:val="000000"/>
                <w:sz w:val="20"/>
                <w:szCs w:val="20"/>
              </w:rPr>
              <w:t>的工作协调，开展优质服务。</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四、负责公共资源交易信息中心的建设和管理。五、</w:t>
            </w:r>
            <w:r>
              <w:rPr>
                <w:rFonts w:hint="eastAsia" w:ascii="宋体" w:hAnsi="宋体" w:eastAsia="宋体" w:cs="宋体"/>
                <w:color w:val="000000"/>
                <w:sz w:val="20"/>
                <w:szCs w:val="20"/>
              </w:rPr>
              <w:t xml:space="preserve"> </w:t>
            </w:r>
            <w:r>
              <w:rPr>
                <w:rFonts w:hint="eastAsia" w:ascii="黑体" w:hAnsi="宋体" w:eastAsia="黑体" w:cs="黑体"/>
                <w:color w:val="000000"/>
                <w:sz w:val="20"/>
                <w:szCs w:val="20"/>
              </w:rPr>
              <w:t>负责全区重大投资项目联合审批的相关服务工作。</w:t>
            </w:r>
            <w:r>
              <w:rPr>
                <w:rFonts w:hint="eastAsia" w:ascii="宋体" w:hAnsi="宋体" w:eastAsia="宋体" w:cs="宋体"/>
                <w:color w:val="000000"/>
                <w:sz w:val="20"/>
                <w:szCs w:val="20"/>
              </w:rPr>
              <w:t xml:space="preserve"> </w:t>
            </w:r>
          </w:p>
        </w:tc>
      </w:tr>
      <w:tr>
        <w:tblPrEx>
          <w:tblCellMar>
            <w:top w:w="0" w:type="dxa"/>
            <w:left w:w="0" w:type="dxa"/>
            <w:bottom w:w="0" w:type="dxa"/>
            <w:right w:w="0" w:type="dxa"/>
          </w:tblCellMar>
        </w:tblPrEx>
        <w:trPr>
          <w:trHeight w:val="92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广元市城乡规划局朝天分局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广元市城乡规划局朝天分局</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广元市朝天区朝天镇稼轩街</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承担朝天区城乡规划编制、城乡规划实施管理监督工作</w:t>
            </w:r>
          </w:p>
        </w:tc>
      </w:tr>
      <w:tr>
        <w:tblPrEx>
          <w:tblCellMar>
            <w:top w:w="0" w:type="dxa"/>
            <w:left w:w="0" w:type="dxa"/>
            <w:bottom w:w="0" w:type="dxa"/>
            <w:right w:w="0" w:type="dxa"/>
          </w:tblCellMar>
        </w:tblPrEx>
        <w:trPr>
          <w:trHeight w:val="11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中共广元市朝天区委宣传部</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广元日报社驻朝天记者站</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广元市朝天区朝天镇大中坝融媒体中心办公楼</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按照广元日报社的安排和策划，独立或协助完成重大或重要新闻采访任务；负责《广元日报》县区版组稿工作；负责本辖区新闻宣传工作；负责本县区通讯联络、培训工作，协助做好报纸发行工作。</w:t>
            </w:r>
          </w:p>
        </w:tc>
      </w:tr>
      <w:tr>
        <w:tblPrEx>
          <w:tblCellMar>
            <w:top w:w="0" w:type="dxa"/>
            <w:left w:w="0" w:type="dxa"/>
            <w:bottom w:w="0" w:type="dxa"/>
            <w:right w:w="0" w:type="dxa"/>
          </w:tblCellMar>
        </w:tblPrEx>
        <w:trPr>
          <w:trHeight w:val="8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广元市朝天区交通运输局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广元市朝天区公路养护段</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广元市朝天镇稼轩街清风大道一段</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承担辖区国、省、县、乡道公路养护、绿化、大中修及养护体制改革。</w:t>
            </w:r>
          </w:p>
        </w:tc>
      </w:tr>
      <w:tr>
        <w:tblPrEx>
          <w:tblCellMar>
            <w:top w:w="0" w:type="dxa"/>
            <w:left w:w="0" w:type="dxa"/>
            <w:bottom w:w="0" w:type="dxa"/>
            <w:right w:w="0"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广元市朝天区残疾人联合会</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广元市朝天区残疾人康复服务中心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广元市朝天区朝天镇康福路2号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负责组织全区残疾人开展康复训练，提供指导；做好残疾人用品用具的登记和供应服务等工作</w:t>
            </w:r>
          </w:p>
        </w:tc>
      </w:tr>
      <w:tr>
        <w:tblPrEx>
          <w:tblCellMar>
            <w:top w:w="0" w:type="dxa"/>
            <w:left w:w="0" w:type="dxa"/>
            <w:bottom w:w="0" w:type="dxa"/>
            <w:right w:w="0" w:type="dxa"/>
          </w:tblCellMar>
        </w:tblPrEx>
        <w:trPr>
          <w:trHeight w:val="720" w:hRule="atLeast"/>
        </w:trPr>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0"/>
                <w:szCs w:val="20"/>
              </w:rPr>
            </w:pPr>
            <w:r>
              <w:rPr>
                <w:rFonts w:hint="eastAsia" w:ascii="黑体" w:hAnsi="宋体" w:eastAsia="黑体" w:cs="黑体"/>
                <w:color w:val="000000"/>
                <w:sz w:val="20"/>
                <w:szCs w:val="20"/>
              </w:rPr>
              <w:t>广元市朝天区卫生健康局</w:t>
            </w: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微软雅黑" w:hAnsi="微软雅黑" w:cs="微软雅黑"/>
                <w:color w:val="000000"/>
                <w:sz w:val="20"/>
                <w:szCs w:val="20"/>
              </w:rPr>
            </w:pPr>
            <w:r>
              <w:rPr>
                <w:rFonts w:hint="eastAsia" w:ascii="微软雅黑" w:hAnsi="微软雅黑" w:cs="微软雅黑"/>
                <w:color w:val="000000"/>
                <w:sz w:val="20"/>
                <w:szCs w:val="20"/>
              </w:rPr>
              <w:t>广元市朝天区鱼洞卫生院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广元市朝天区鱼洞东沟村九组</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广元市朝天区青林卫生院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广元市朝天区水麿沟镇场镇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广元市朝天区东溪河卫生院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广元市朝天区云雾山镇场镇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广元市朝天区大滩中心卫生院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广元市朝天区花石卫生院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广元市朝天区花石场镇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广元市朝天区临溪卫生院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广元市朝天区临溪场镇宾临路</w:t>
            </w:r>
            <w:r>
              <w:rPr>
                <w:rFonts w:hint="eastAsia" w:ascii="宋体" w:hAnsi="宋体" w:eastAsia="宋体" w:cs="宋体"/>
                <w:color w:val="000000"/>
                <w:sz w:val="20"/>
                <w:szCs w:val="20"/>
              </w:rPr>
              <w:t>38</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广元市朝天区宣河卫生院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广元市朝天区宣河场镇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广元市朝天区平溪卫生院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广元市朝天区平溪场镇平安街</w:t>
            </w:r>
            <w:r>
              <w:rPr>
                <w:rFonts w:hint="eastAsia" w:ascii="宋体" w:hAnsi="宋体" w:eastAsia="宋体" w:cs="宋体"/>
                <w:color w:val="000000"/>
                <w:sz w:val="20"/>
                <w:szCs w:val="20"/>
              </w:rPr>
              <w:t>180</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广元市朝天区柏杨卫生院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广元市朝天区柏杨场镇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广元市朝天区两河口卫生院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广元市朝天区两河口场镇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广元市朝天区中子中心卫生院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广元市朝天区中子镇场镇</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承担基本公共卫生服务、基本医疗服务及基层医疗卫生综合管理服务</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广元市朝天区中医医院</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差额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广元市朝天区朝天镇德胜街</w:t>
            </w:r>
            <w:r>
              <w:rPr>
                <w:rFonts w:hint="eastAsia" w:ascii="宋体" w:hAnsi="宋体" w:eastAsia="宋体" w:cs="宋体"/>
                <w:color w:val="000000"/>
                <w:sz w:val="20"/>
                <w:szCs w:val="20"/>
              </w:rPr>
              <w:t>102</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承担医疗、教学、预防、保健、康复和急诊急救服务等职能</w:t>
            </w:r>
          </w:p>
        </w:tc>
      </w:tr>
      <w:tr>
        <w:tblPrEx>
          <w:tblCellMar>
            <w:top w:w="0" w:type="dxa"/>
            <w:left w:w="0" w:type="dxa"/>
            <w:bottom w:w="0" w:type="dxa"/>
            <w:right w:w="0"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p>
        </w:tc>
        <w:tc>
          <w:tcPr>
            <w:tcW w:w="18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广元市朝天区妇幼保健计划生育服务中心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全额</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广元市朝天区朝天镇飞霞路</w:t>
            </w:r>
            <w:r>
              <w:rPr>
                <w:rFonts w:hint="eastAsia" w:ascii="宋体" w:hAnsi="宋体" w:eastAsia="宋体" w:cs="宋体"/>
                <w:color w:val="000000"/>
                <w:sz w:val="20"/>
                <w:szCs w:val="20"/>
              </w:rPr>
              <w:t>39</w:t>
            </w:r>
            <w:r>
              <w:rPr>
                <w:rFonts w:hint="eastAsia" w:ascii="微软雅黑" w:hAnsi="微软雅黑" w:cs="微软雅黑"/>
                <w:color w:val="000000"/>
                <w:sz w:val="20"/>
                <w:szCs w:val="20"/>
              </w:rPr>
              <w:t>号</w:t>
            </w:r>
          </w:p>
        </w:tc>
        <w:tc>
          <w:tcPr>
            <w:tcW w:w="7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承担妇幼健康公共卫生和计划生育技术服务等职能</w:t>
            </w:r>
          </w:p>
        </w:tc>
      </w:tr>
      <w:tr>
        <w:tblPrEx>
          <w:tblCellMar>
            <w:top w:w="0" w:type="dxa"/>
            <w:left w:w="0" w:type="dxa"/>
            <w:bottom w:w="0" w:type="dxa"/>
            <w:right w:w="0" w:type="dxa"/>
          </w:tblCellMar>
        </w:tblPrEx>
        <w:trPr>
          <w:trHeight w:val="760" w:hRule="atLeast"/>
        </w:trPr>
        <w:tc>
          <w:tcPr>
            <w:tcW w:w="10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黑体" w:hAnsi="宋体" w:cs="黑体"/>
                <w:color w:val="000000"/>
                <w:sz w:val="20"/>
                <w:szCs w:val="20"/>
              </w:rPr>
            </w:pPr>
            <w:r>
              <w:rPr>
                <w:rFonts w:hint="eastAsia" w:ascii="微软雅黑" w:hAnsi="微软雅黑" w:cs="微软雅黑"/>
                <w:color w:val="000000"/>
                <w:sz w:val="20"/>
                <w:szCs w:val="20"/>
              </w:rPr>
              <w:t>广元市朝天区曾家镇人民政府</w:t>
            </w:r>
          </w:p>
        </w:tc>
        <w:tc>
          <w:tcPr>
            <w:tcW w:w="187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广元市朝天区曾家镇人民政府便民服务中心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广元市朝天区曾家镇场镇</w:t>
            </w:r>
          </w:p>
        </w:tc>
        <w:tc>
          <w:tcPr>
            <w:tcW w:w="70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r>
        <w:tblPrEx>
          <w:tblCellMar>
            <w:top w:w="0" w:type="dxa"/>
            <w:left w:w="0" w:type="dxa"/>
            <w:bottom w:w="0" w:type="dxa"/>
            <w:right w:w="0" w:type="dxa"/>
          </w:tblCellMar>
        </w:tblPrEx>
        <w:trPr>
          <w:trHeight w:val="990" w:hRule="atLeast"/>
        </w:trPr>
        <w:tc>
          <w:tcPr>
            <w:tcW w:w="108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r>
              <w:rPr>
                <w:rFonts w:hint="eastAsia" w:ascii="微软雅黑" w:hAnsi="微软雅黑" w:cs="微软雅黑"/>
                <w:color w:val="000000"/>
                <w:sz w:val="20"/>
                <w:szCs w:val="20"/>
              </w:rPr>
              <w:t>广元市朝天区大滩镇人民政府</w:t>
            </w:r>
          </w:p>
        </w:tc>
        <w:tc>
          <w:tcPr>
            <w:tcW w:w="187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广元市朝天区大滩镇场镇</w:t>
            </w:r>
          </w:p>
        </w:tc>
        <w:tc>
          <w:tcPr>
            <w:tcW w:w="709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r>
        <w:tblPrEx>
          <w:tblCellMar>
            <w:top w:w="0" w:type="dxa"/>
            <w:left w:w="0" w:type="dxa"/>
            <w:bottom w:w="0" w:type="dxa"/>
            <w:right w:w="0" w:type="dxa"/>
          </w:tblCellMar>
        </w:tblPrEx>
        <w:trPr>
          <w:trHeight w:val="1234" w:hRule="atLeast"/>
        </w:trPr>
        <w:tc>
          <w:tcPr>
            <w:tcW w:w="1080" w:type="dxa"/>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r>
              <w:rPr>
                <w:rFonts w:hint="eastAsia" w:ascii="微软雅黑" w:hAnsi="微软雅黑" w:cs="微软雅黑"/>
                <w:color w:val="000000"/>
                <w:sz w:val="20"/>
                <w:szCs w:val="20"/>
              </w:rPr>
              <w:t>广元市朝天区李家镇人民政府</w:t>
            </w:r>
          </w:p>
        </w:tc>
        <w:tc>
          <w:tcPr>
            <w:tcW w:w="187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广元市朝天区李家镇场镇</w:t>
            </w:r>
          </w:p>
        </w:tc>
        <w:tc>
          <w:tcPr>
            <w:tcW w:w="709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r>
        <w:tblPrEx>
          <w:tblCellMar>
            <w:top w:w="0" w:type="dxa"/>
            <w:left w:w="0" w:type="dxa"/>
            <w:bottom w:w="0" w:type="dxa"/>
            <w:right w:w="0" w:type="dxa"/>
          </w:tblCellMar>
        </w:tblPrEx>
        <w:trPr>
          <w:trHeight w:val="1244" w:hRule="atLeast"/>
        </w:trPr>
        <w:tc>
          <w:tcPr>
            <w:tcW w:w="108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sz w:val="20"/>
                <w:szCs w:val="20"/>
              </w:rPr>
            </w:pPr>
            <w:r>
              <w:rPr>
                <w:rFonts w:hint="eastAsia" w:ascii="微软雅黑" w:hAnsi="微软雅黑" w:cs="微软雅黑"/>
                <w:color w:val="000000"/>
                <w:sz w:val="20"/>
                <w:szCs w:val="20"/>
              </w:rPr>
              <w:t>广元市朝天区云雾山镇人民政府</w:t>
            </w:r>
          </w:p>
        </w:tc>
        <w:tc>
          <w:tcPr>
            <w:tcW w:w="187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广元市朝天区云雾山镇人民政府便民服务中心</w:t>
            </w:r>
          </w:p>
        </w:tc>
        <w:tc>
          <w:tcPr>
            <w:tcW w:w="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微软雅黑" w:hAnsi="微软雅黑" w:cs="微软雅黑"/>
                <w:color w:val="000000"/>
                <w:sz w:val="20"/>
                <w:szCs w:val="20"/>
              </w:rPr>
            </w:pPr>
            <w:r>
              <w:rPr>
                <w:rFonts w:ascii="微软雅黑" w:hAnsi="微软雅黑" w:cs="微软雅黑"/>
                <w:color w:val="000000"/>
                <w:sz w:val="20"/>
                <w:szCs w:val="20"/>
              </w:rPr>
              <w:t xml:space="preserve">全额 </w:t>
            </w:r>
          </w:p>
        </w:tc>
        <w:tc>
          <w:tcPr>
            <w:tcW w:w="2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广元市朝天区云雾山镇场镇</w:t>
            </w:r>
          </w:p>
        </w:tc>
        <w:tc>
          <w:tcPr>
            <w:tcW w:w="709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微软雅黑" w:hAnsi="微软雅黑" w:cs="微软雅黑"/>
                <w:color w:val="000000"/>
                <w:sz w:val="20"/>
                <w:szCs w:val="20"/>
              </w:rPr>
            </w:pPr>
            <w:r>
              <w:rPr>
                <w:rFonts w:hint="eastAsia" w:ascii="微软雅黑" w:hAnsi="微软雅黑" w:cs="微软雅黑"/>
                <w:color w:val="000000"/>
                <w:sz w:val="20"/>
                <w:szCs w:val="20"/>
              </w:rPr>
              <w:t>承担本部门财务相关工作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92"/>
    <w:rsid w:val="003221F4"/>
    <w:rsid w:val="003E6A92"/>
    <w:rsid w:val="00B4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322</Words>
  <Characters>1839</Characters>
  <Lines>15</Lines>
  <Paragraphs>4</Paragraphs>
  <TotalTime>0</TotalTime>
  <ScaleCrop>false</ScaleCrop>
  <LinksUpToDate>false</LinksUpToDate>
  <CharactersWithSpaces>2157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2020-09-25T07:19:00Z</dcterms:created>
  <dc:creator>Administrator</dc:creator>
  <cp:lastModifiedBy>ぺ灬cc果冻ル</cp:lastModifiedBy>
  <dcterms:modified xsi:type="dcterms:W3CDTF">2020-09-25T11:26:05Z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