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2020年度恩施州大数据中心统一考试公开招聘工作人员面试人员名单</w:t>
      </w:r>
    </w:p>
    <w:tbl>
      <w:tblPr>
        <w:tblStyle w:val="2"/>
        <w:tblW w:w="15092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2437"/>
        <w:gridCol w:w="1910"/>
        <w:gridCol w:w="868"/>
        <w:gridCol w:w="578"/>
        <w:gridCol w:w="1653"/>
        <w:gridCol w:w="708"/>
        <w:gridCol w:w="615"/>
        <w:gridCol w:w="570"/>
        <w:gridCol w:w="550"/>
        <w:gridCol w:w="1393"/>
        <w:gridCol w:w="566"/>
        <w:gridCol w:w="8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23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报考单位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19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准考</w:t>
            </w: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证号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  <w:highlight w:val="none"/>
              </w:rPr>
              <w:t>综合应用能力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lang w:val="en-US" w:eastAsia="zh-CN"/>
              </w:rPr>
              <w:t>分数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lang w:val="en-US" w:eastAsia="zh-CN"/>
              </w:rPr>
              <w:t>职业能力倾向测试分数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  <w:highlight w:val="none"/>
              </w:rPr>
              <w:t>笔试成绩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  <w:highlight w:val="none"/>
              </w:rPr>
              <w:t>政策性加分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  <w:highlight w:val="none"/>
              </w:rPr>
              <w:t>笔试综合成绩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</w:rPr>
              <w:t>(笔试成绩按百分制折算后+加分，保留三位小数)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highlight w:val="none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  <w:highlight w:val="none"/>
              </w:rPr>
              <w:t>名次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23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恩施州大数据中心</w:t>
            </w:r>
          </w:p>
        </w:tc>
        <w:tc>
          <w:tcPr>
            <w:tcW w:w="243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技术人员</w:t>
            </w:r>
          </w:p>
        </w:tc>
        <w:tc>
          <w:tcPr>
            <w:tcW w:w="19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14228001002005001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肖贤富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3142280103107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51.167 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23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张祎罡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3142280105424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45.333 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23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杨佳伟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3142280106003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38.667 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23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恩施州大数据中心</w:t>
            </w:r>
          </w:p>
        </w:tc>
        <w:tc>
          <w:tcPr>
            <w:tcW w:w="243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技术人员</w:t>
            </w:r>
          </w:p>
        </w:tc>
        <w:tc>
          <w:tcPr>
            <w:tcW w:w="19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14228001002005002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高建辉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3142280103015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209.5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69.833 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23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向本雨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3142280100615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68.333 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  <w:jc w:val="center"/>
        </w:trPr>
        <w:tc>
          <w:tcPr>
            <w:tcW w:w="23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刘奇绪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3142280104713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6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65.333 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0" w:type="dxa"/>
            <w:shd w:val="clear" w:color="auto" w:fill="auto"/>
            <w:noWrap w:val="0"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A063E39-90D6-4ECC-B1DE-D36147A948D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A21404-D551-4FE9-B3A3-74F5437A2B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3C58708-8BF8-4E84-9CE4-41282DAA1D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0666D"/>
    <w:rsid w:val="7BC0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2020-09-16T03:23:00Z</dcterms:created>
  <dc:creator>阿侯</dc:creator>
  <cp:lastModifiedBy>阿侯</cp:lastModifiedBy>
  <cp:lastPrinted>2020-09-16T03:36:15Z</cp:lastPrinted>
  <dcterms:modified xsi:type="dcterms:W3CDTF">2020-09-16T03:36:22Z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