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山西体育职业学院2020年公开招聘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专业课教师和专职辅导员岗位表</w:t>
      </w:r>
      <w:bookmarkEnd w:id="0"/>
    </w:p>
    <w:tbl>
      <w:tblPr>
        <w:tblStyle w:val="3"/>
        <w:tblW w:w="9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37"/>
        <w:gridCol w:w="683"/>
        <w:gridCol w:w="662"/>
        <w:gridCol w:w="709"/>
        <w:gridCol w:w="850"/>
        <w:gridCol w:w="992"/>
        <w:gridCol w:w="1348"/>
        <w:gridCol w:w="139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教师1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  <w:t>新闻传播学类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本硕专业一致；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教师2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6"/>
              </w:rPr>
              <w:t>体育类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羽毛球二级运动员等级以上；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山西体育职业学院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专职辅导员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18周岁以上35周岁及以下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研究生及以上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硕士及以上学位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6"/>
                <w:szCs w:val="16"/>
              </w:rPr>
              <w:t>体育类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中国共产党党员（含预备党员）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高校应届毕业生岗位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太原市小店区</w:t>
            </w:r>
          </w:p>
        </w:tc>
      </w:tr>
    </w:tbl>
    <w:p/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/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776D"/>
    <w:rsid w:val="5BC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2020-09-19T09:20:00Z</dcterms:created>
  <dc:creator>Administrator</dc:creator>
  <cp:lastModifiedBy>Administrator</cp:lastModifiedBy>
  <dcterms:modified xsi:type="dcterms:W3CDTF">2020-09-19T09:22:56Z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