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tbl>
      <w:tblPr>
        <w:tblStyle w:val="3"/>
        <w:tblW w:w="936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731"/>
        <w:gridCol w:w="732"/>
        <w:gridCol w:w="889"/>
        <w:gridCol w:w="510"/>
        <w:gridCol w:w="780"/>
        <w:gridCol w:w="735"/>
        <w:gridCol w:w="2160"/>
        <w:gridCol w:w="2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临沂职业学院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2020年引进优秀高校毕业生岗位表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专任教师A岗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哲学类、经济类、法学类、教育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类、文学类、历史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类、理学类、工学类、农学类、医学类、管理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类、艺术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一流大学建设高校或一流学科建设高校一流学科应届毕业生（含3年择业期内未落实就业单位的毕业生）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最低服务年限3年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专任教师B岗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本科学历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学士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哲学类、经济类、法学类、教育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类、文学类、历史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类、理学类、工学类、农学类、医学类、管理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类、艺术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类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一流大学建设高校或一流学科建设高校一流学科应届毕业生（含3年择业期内未落实就业单位的毕业生）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shd w:val="clear" w:color="auto" w:fill="FFFFFF"/>
              </w:rPr>
              <w:t>最低服务年限3年</w:t>
            </w:r>
          </w:p>
        </w:tc>
      </w:tr>
    </w:tbl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0AF2"/>
    <w:rsid w:val="0C243862"/>
    <w:rsid w:val="19B60AF2"/>
    <w:rsid w:val="1ADF55B3"/>
    <w:rsid w:val="1C3D3B93"/>
    <w:rsid w:val="2E65520F"/>
    <w:rsid w:val="7E6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2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2020-09-10T06:55:00Z</dcterms:created>
  <dc:creator>China强</dc:creator>
  <cp:lastModifiedBy>China强</cp:lastModifiedBy>
  <dcterms:modified xsi:type="dcterms:W3CDTF">2020-09-11T06:47:38Z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