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50" w:lineRule="atLeast"/>
        <w:ind w:left="0" w:right="0"/>
        <w:jc w:val="center"/>
        <w:outlineLvl w:val="2"/>
      </w:pPr>
      <w:r>
        <w:rPr>
          <w:rFonts w:ascii="方正小标宋_GBK" w:hAnsi="方正小标宋_GBK" w:eastAsia="方正小标宋_GBK" w:cs="方正小标宋_GBK"/>
          <w:color w:val="555555"/>
          <w:kern w:val="2"/>
          <w:sz w:val="44"/>
          <w:szCs w:val="44"/>
          <w:lang w:val="en-US" w:eastAsia="zh-CN" w:bidi="ar"/>
        </w:rPr>
        <w:t>福建省教育厅关于做好</w:t>
      </w:r>
      <w:r>
        <w:rPr>
          <w:rFonts w:hint="default" w:ascii="方正小标宋_GBK" w:hAnsi="方正小标宋简体" w:eastAsia="方正小标宋_GBK" w:cs="方正小标宋简体"/>
          <w:color w:val="555555"/>
          <w:kern w:val="2"/>
          <w:sz w:val="44"/>
          <w:szCs w:val="44"/>
          <w:lang w:val="en-US" w:eastAsia="zh-CN" w:bidi="ar"/>
        </w:rPr>
        <w:t>2020年中小学</w:t>
      </w:r>
    </w:p>
    <w:p>
      <w:pPr>
        <w:keepNext w:val="0"/>
        <w:keepLines w:val="0"/>
        <w:widowControl/>
        <w:suppressLineNumbers w:val="0"/>
        <w:spacing w:before="0" w:beforeAutospacing="0" w:after="0" w:afterAutospacing="0" w:line="450" w:lineRule="atLeast"/>
        <w:ind w:left="0" w:right="0"/>
        <w:jc w:val="center"/>
        <w:outlineLvl w:val="2"/>
      </w:pPr>
      <w:r>
        <w:rPr>
          <w:rFonts w:hint="default" w:ascii="方正小标宋_GBK" w:hAnsi="方正小标宋简体" w:eastAsia="方正小标宋_GBK" w:cs="方正小标宋简体"/>
          <w:color w:val="555555"/>
          <w:kern w:val="2"/>
          <w:sz w:val="44"/>
          <w:szCs w:val="44"/>
          <w:lang w:val="en-US" w:eastAsia="zh-CN" w:bidi="ar"/>
        </w:rPr>
        <w:t>教师资格认定工作的通知</w:t>
      </w:r>
    </w:p>
    <w:p>
      <w:pPr>
        <w:pStyle w:val="2"/>
        <w:keepNext w:val="0"/>
        <w:keepLines w:val="0"/>
        <w:widowControl/>
        <w:suppressLineNumbers w:val="0"/>
        <w:spacing w:before="0" w:beforeAutospacing="0" w:after="0" w:afterAutospacing="0" w:line="450" w:lineRule="atLeast"/>
        <w:ind w:left="0" w:right="0"/>
        <w:jc w:val="center"/>
      </w:pPr>
      <w:r>
        <w:rPr>
          <w:rFonts w:ascii="仿宋_GB2312" w:eastAsia="仿宋_GB2312" w:cs="仿宋_GB2312"/>
          <w:b w:val="0"/>
          <w:color w:val="555555"/>
          <w:sz w:val="32"/>
          <w:szCs w:val="32"/>
          <w:bdr w:val="none" w:color="auto" w:sz="0" w:space="0"/>
        </w:rPr>
        <w:t> </w:t>
      </w:r>
    </w:p>
    <w:p>
      <w:pPr>
        <w:keepNext w:val="0"/>
        <w:keepLines w:val="0"/>
        <w:widowControl/>
        <w:suppressLineNumbers w:val="0"/>
        <w:spacing w:before="0" w:beforeAutospacing="0" w:after="0" w:afterAutospacing="0" w:line="450" w:lineRule="atLeast"/>
        <w:ind w:left="0" w:right="0"/>
        <w:jc w:val="left"/>
      </w:pPr>
      <w:r>
        <w:rPr>
          <w:rFonts w:ascii="微软雅黑" w:hAnsi="微软雅黑" w:eastAsia="微软雅黑" w:cs="微软雅黑"/>
          <w:color w:val="555555"/>
          <w:kern w:val="0"/>
          <w:sz w:val="24"/>
          <w:szCs w:val="24"/>
          <w:lang w:val="en-US" w:eastAsia="zh-CN" w:bidi="ar"/>
        </w:rPr>
        <w:t> </w:t>
      </w:r>
    </w:p>
    <w:p>
      <w:pPr>
        <w:pStyle w:val="2"/>
        <w:keepNext w:val="0"/>
        <w:keepLines w:val="0"/>
        <w:widowControl/>
        <w:suppressLineNumbers w:val="0"/>
        <w:spacing w:before="0" w:beforeAutospacing="0" w:after="0" w:afterAutospacing="0" w:line="450" w:lineRule="atLeast"/>
        <w:ind w:left="0" w:right="0"/>
        <w:jc w:val="center"/>
      </w:pPr>
      <w:r>
        <w:rPr>
          <w:rFonts w:hint="default" w:ascii="仿宋_GB2312" w:eastAsia="仿宋_GB2312" w:cs="仿宋_GB2312"/>
          <w:b w:val="0"/>
          <w:color w:val="555555"/>
          <w:sz w:val="32"/>
          <w:szCs w:val="32"/>
          <w:bdr w:val="none" w:color="auto" w:sz="0" w:space="0"/>
        </w:rPr>
        <w:t>闽教师〔2020〕19号</w:t>
      </w:r>
    </w:p>
    <w:p>
      <w:pPr>
        <w:keepNext w:val="0"/>
        <w:keepLines w:val="0"/>
        <w:widowControl/>
        <w:suppressLineNumbers w:val="0"/>
        <w:spacing w:before="0" w:beforeAutospacing="0" w:after="0" w:afterAutospacing="0" w:line="540" w:lineRule="atLeast"/>
        <w:ind w:left="0" w:right="0"/>
        <w:jc w:val="center"/>
        <w:outlineLvl w:val="2"/>
      </w:pPr>
      <w:r>
        <w:rPr>
          <w:rFonts w:hint="eastAsia" w:ascii="方正小标宋简体" w:hAnsi="方正小标宋简体" w:eastAsia="方正小标宋简体" w:cs="方正小标宋简体"/>
          <w:color w:val="555555"/>
          <w:kern w:val="2"/>
          <w:sz w:val="44"/>
          <w:szCs w:val="44"/>
          <w:lang w:val="en-US" w:eastAsia="zh-CN" w:bidi="ar"/>
        </w:rPr>
        <w:t xml:space="preserve"> </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各市、县(区)教育局，平潭综合实验区社会事业局：</w:t>
      </w:r>
    </w:p>
    <w:p>
      <w:pPr>
        <w:keepNext w:val="0"/>
        <w:keepLines w:val="0"/>
        <w:widowControl/>
        <w:suppressLineNumbers w:val="0"/>
        <w:spacing w:before="0" w:beforeAutospacing="0" w:after="0" w:afterAutospacing="0" w:line="540" w:lineRule="atLeast"/>
        <w:ind w:left="0" w:right="0" w:firstLine="646"/>
        <w:jc w:val="left"/>
      </w:pPr>
      <w:r>
        <w:rPr>
          <w:rFonts w:hint="default" w:ascii="仿宋_GB2312" w:hAnsi="微软雅黑" w:eastAsia="仿宋_GB2312" w:cs="仿宋_GB2312"/>
          <w:color w:val="555555"/>
          <w:kern w:val="2"/>
          <w:sz w:val="32"/>
          <w:szCs w:val="32"/>
          <w:lang w:val="en-US" w:eastAsia="zh-CN" w:bidi="ar"/>
        </w:rPr>
        <w:t>根据</w:t>
      </w:r>
      <w:r>
        <w:rPr>
          <w:rFonts w:hint="default" w:ascii="仿宋_GB2312" w:hAnsi="微软雅黑" w:eastAsia="仿宋_GB2312" w:cs="仿宋_GB2312"/>
          <w:color w:val="555555"/>
          <w:kern w:val="0"/>
          <w:sz w:val="32"/>
          <w:szCs w:val="32"/>
          <w:lang w:val="en-US" w:eastAsia="zh-CN" w:bidi="ar"/>
        </w:rPr>
        <w:t>《教师法》</w:t>
      </w:r>
      <w:r>
        <w:rPr>
          <w:rFonts w:hint="default" w:ascii="仿宋_GB2312" w:hAnsi="微软雅黑" w:eastAsia="仿宋_GB2312" w:cs="仿宋_GB2312"/>
          <w:color w:val="555555"/>
          <w:kern w:val="2"/>
          <w:sz w:val="32"/>
          <w:szCs w:val="32"/>
          <w:lang w:val="en-US" w:eastAsia="zh-CN" w:bidi="ar"/>
        </w:rPr>
        <w:t>《教师资格条例》《&lt;教师资格条例&gt;实施办法》和《教育部教师资格认定指导中心关于做好2020年教师资格制度实施工作的通知》（教资字〔2020〕1号）要求，现就我省2020年中小学教师资格认定工作有关事项通知如下：</w:t>
      </w:r>
    </w:p>
    <w:p>
      <w:pPr>
        <w:keepNext w:val="0"/>
        <w:keepLines w:val="0"/>
        <w:widowControl/>
        <w:suppressLineNumbers w:val="0"/>
        <w:spacing w:before="0" w:beforeAutospacing="0" w:after="0" w:afterAutospacing="0" w:line="540" w:lineRule="atLeast"/>
        <w:ind w:left="0" w:right="0" w:firstLine="640" w:firstLineChars="200"/>
        <w:jc w:val="left"/>
      </w:pPr>
      <w:r>
        <w:rPr>
          <w:rFonts w:ascii="黑体" w:hAnsi="宋体" w:eastAsia="黑体" w:cs="黑体"/>
          <w:color w:val="555555"/>
          <w:kern w:val="2"/>
          <w:sz w:val="32"/>
          <w:szCs w:val="32"/>
          <w:lang w:val="en-US" w:eastAsia="zh-CN" w:bidi="ar"/>
        </w:rPr>
        <w:t>一、认定时间</w:t>
      </w:r>
    </w:p>
    <w:p>
      <w:pPr>
        <w:keepNext w:val="0"/>
        <w:keepLines w:val="0"/>
        <w:widowControl/>
        <w:suppressLineNumbers w:val="0"/>
        <w:spacing w:before="0" w:beforeAutospacing="0" w:after="0" w:afterAutospacing="0" w:line="540" w:lineRule="atLeast"/>
        <w:ind w:left="0" w:right="0" w:firstLine="640" w:firstLineChars="200"/>
        <w:jc w:val="left"/>
      </w:pPr>
      <w:r>
        <w:rPr>
          <w:rFonts w:hint="default" w:ascii="仿宋_GB2312" w:hAnsi="微软雅黑" w:eastAsia="仿宋_GB2312" w:cs="仿宋_GB2312"/>
          <w:color w:val="555555"/>
          <w:kern w:val="2"/>
          <w:sz w:val="32"/>
          <w:szCs w:val="32"/>
          <w:lang w:val="en-US" w:eastAsia="zh-CN" w:bidi="ar"/>
        </w:rPr>
        <w:t>今年我省中小学教师资格认定时间为6月6日至8月20日、9月14日至12月18日两个时段</w:t>
      </w:r>
      <w:r>
        <w:rPr>
          <w:rFonts w:hint="default" w:ascii="仿宋_GB2312" w:hAnsi="微软雅黑" w:eastAsia="仿宋_GB2312" w:cs="仿宋_GB2312"/>
          <w:color w:val="555555"/>
          <w:kern w:val="0"/>
          <w:sz w:val="32"/>
          <w:szCs w:val="32"/>
          <w:lang w:val="en-US" w:eastAsia="zh-CN" w:bidi="ar"/>
        </w:rPr>
        <w:t>(因特殊情况中国教师资格网需要维护关网时间除外)</w:t>
      </w:r>
      <w:r>
        <w:rPr>
          <w:rFonts w:hint="default" w:ascii="仿宋_GB2312" w:hAnsi="微软雅黑" w:eastAsia="仿宋_GB2312" w:cs="仿宋_GB2312"/>
          <w:color w:val="555555"/>
          <w:kern w:val="2"/>
          <w:sz w:val="32"/>
          <w:szCs w:val="32"/>
          <w:lang w:val="en-US" w:eastAsia="zh-CN" w:bidi="ar"/>
        </w:rPr>
        <w:t>。具体时间由各级教育行政部门结合本地</w:t>
      </w:r>
      <w:r>
        <w:rPr>
          <w:rFonts w:hint="default" w:ascii="仿宋_GB2312" w:hAnsi="微软雅黑" w:eastAsia="仿宋_GB2312" w:cs="仿宋_GB2312"/>
          <w:color w:val="555555"/>
          <w:kern w:val="0"/>
          <w:sz w:val="32"/>
          <w:szCs w:val="32"/>
          <w:lang w:val="en-US" w:eastAsia="zh-CN" w:bidi="ar"/>
        </w:rPr>
        <w:t>实际</w:t>
      </w:r>
      <w:r>
        <w:rPr>
          <w:rFonts w:hint="default" w:ascii="仿宋_GB2312" w:hAnsi="微软雅黑" w:eastAsia="仿宋_GB2312" w:cs="仿宋_GB2312"/>
          <w:color w:val="555555"/>
          <w:kern w:val="2"/>
          <w:sz w:val="32"/>
          <w:szCs w:val="32"/>
          <w:lang w:val="en-US" w:eastAsia="zh-CN" w:bidi="ar"/>
        </w:rPr>
        <w:t>进行安排，并通过官方网站、新闻媒体等予以公布。</w:t>
      </w:r>
    </w:p>
    <w:p>
      <w:pPr>
        <w:keepNext w:val="0"/>
        <w:keepLines w:val="0"/>
        <w:widowControl/>
        <w:suppressLineNumbers w:val="0"/>
        <w:spacing w:before="0" w:beforeAutospacing="0" w:after="0" w:afterAutospacing="0" w:line="540" w:lineRule="atLeast"/>
        <w:ind w:left="0" w:right="0" w:firstLine="640" w:firstLineChars="200"/>
        <w:jc w:val="left"/>
      </w:pPr>
      <w:r>
        <w:rPr>
          <w:rFonts w:hint="default" w:ascii="仿宋_GB2312" w:hAnsi="微软雅黑" w:eastAsia="仿宋_GB2312" w:cs="仿宋_GB2312"/>
          <w:color w:val="555555"/>
          <w:kern w:val="2"/>
          <w:sz w:val="32"/>
          <w:szCs w:val="32"/>
          <w:lang w:val="en-US" w:eastAsia="zh-CN" w:bidi="ar"/>
        </w:rPr>
        <w:t>请各地在中国教师资格网和信息系统开放时间内，合理安排本地教师资格认定工作的报名、现场确认、审批和数据管理等工作，信息系统锁定后不再对各认定机构开放。如系统开放时间有调整，请以中国教师资格网通知为准。申请人可通过“福建省各级教师资格认定机构联系方式”查询各级认定机构的联系电话，获知其具体的认定时间等认定事项。</w:t>
      </w:r>
    </w:p>
    <w:p>
      <w:pPr>
        <w:keepNext w:val="0"/>
        <w:keepLines w:val="0"/>
        <w:widowControl/>
        <w:suppressLineNumbers w:val="0"/>
        <w:spacing w:before="0" w:beforeAutospacing="0" w:after="0" w:afterAutospacing="0" w:line="540" w:lineRule="atLeast"/>
        <w:ind w:left="0" w:right="0" w:firstLine="640" w:firstLineChars="200"/>
        <w:jc w:val="left"/>
      </w:pPr>
      <w:r>
        <w:rPr>
          <w:rFonts w:hint="eastAsia" w:ascii="黑体" w:hAnsi="宋体" w:eastAsia="黑体" w:cs="黑体"/>
          <w:color w:val="555555"/>
          <w:kern w:val="2"/>
          <w:sz w:val="32"/>
          <w:szCs w:val="32"/>
          <w:lang w:val="en-US" w:eastAsia="zh-CN" w:bidi="ar"/>
        </w:rPr>
        <w:t>二、受理机构</w:t>
      </w:r>
    </w:p>
    <w:p>
      <w:pPr>
        <w:keepNext w:val="0"/>
        <w:keepLines w:val="0"/>
        <w:widowControl/>
        <w:suppressLineNumbers w:val="0"/>
        <w:spacing w:before="0" w:beforeAutospacing="0" w:after="0" w:afterAutospacing="0" w:line="540" w:lineRule="atLeast"/>
        <w:ind w:left="0" w:right="0" w:firstLine="640" w:firstLineChars="200"/>
        <w:jc w:val="left"/>
      </w:pPr>
      <w:r>
        <w:rPr>
          <w:rFonts w:hint="default" w:ascii="仿宋_GB2312" w:hAnsi="微软雅黑" w:eastAsia="仿宋_GB2312" w:cs="仿宋_GB2312"/>
          <w:color w:val="555555"/>
          <w:kern w:val="2"/>
          <w:sz w:val="32"/>
          <w:szCs w:val="32"/>
          <w:lang w:val="en-US" w:eastAsia="zh-CN" w:bidi="ar"/>
        </w:rPr>
        <w:t>根据国家有关规定，幼儿园、小学和初级中学教师资格，由县(区)级教育行政部门认定；高级中学教师资格、中等职业学校教师资格和中等职业学校实习指导教师资格，由市级教育行政部门认定。</w:t>
      </w:r>
    </w:p>
    <w:p>
      <w:pPr>
        <w:keepNext w:val="0"/>
        <w:keepLines w:val="0"/>
        <w:widowControl/>
        <w:suppressLineNumbers w:val="0"/>
        <w:spacing w:before="0" w:beforeAutospacing="0" w:after="0" w:afterAutospacing="0" w:line="540" w:lineRule="atLeast"/>
        <w:ind w:left="0" w:right="0" w:firstLine="640" w:firstLineChars="200"/>
        <w:jc w:val="left"/>
      </w:pPr>
      <w:r>
        <w:rPr>
          <w:rFonts w:hint="eastAsia" w:ascii="黑体" w:hAnsi="宋体" w:eastAsia="黑体" w:cs="黑体"/>
          <w:color w:val="555555"/>
          <w:kern w:val="2"/>
          <w:sz w:val="32"/>
          <w:szCs w:val="32"/>
          <w:lang w:val="en-US" w:eastAsia="zh-CN" w:bidi="ar"/>
        </w:rPr>
        <w:t>三、认定对象</w:t>
      </w:r>
    </w:p>
    <w:p>
      <w:pPr>
        <w:keepNext w:val="0"/>
        <w:keepLines w:val="0"/>
        <w:widowControl/>
        <w:suppressLineNumbers w:val="0"/>
        <w:spacing w:before="0" w:beforeAutospacing="0" w:after="0" w:afterAutospacing="0" w:line="540" w:lineRule="atLeast"/>
        <w:ind w:left="0" w:right="0" w:firstLine="640" w:firstLineChars="200"/>
        <w:jc w:val="left"/>
      </w:pPr>
      <w:r>
        <w:rPr>
          <w:rFonts w:hint="default" w:ascii="仿宋_GB2312" w:hAnsi="微软雅黑" w:eastAsia="仿宋_GB2312" w:cs="仿宋_GB2312"/>
          <w:color w:val="555555"/>
          <w:kern w:val="2"/>
          <w:sz w:val="32"/>
          <w:szCs w:val="32"/>
          <w:lang w:val="en-US" w:eastAsia="zh-CN" w:bidi="ar"/>
        </w:rPr>
        <w:t>未达到国家法定退休年龄，符合国家及我省规定的申请条件，参加国家中小学教师资格考试并取得《中小学教师资格考试合格证明》且在有效期内的人员。符合上述条件，在我省认定的人员还需符合以下条件之一：</w:t>
      </w:r>
    </w:p>
    <w:p>
      <w:pPr>
        <w:keepNext w:val="0"/>
        <w:keepLines w:val="0"/>
        <w:widowControl/>
        <w:numPr>
          <w:numId w:val="0"/>
        </w:numPr>
        <w:suppressLineNumbers w:val="0"/>
        <w:spacing w:before="0" w:beforeAutospacing="0" w:after="0" w:afterAutospacing="0" w:line="540" w:lineRule="atLeast"/>
        <w:ind w:left="0" w:right="0" w:firstLine="640" w:firstLineChars="200"/>
        <w:jc w:val="left"/>
      </w:pPr>
      <w:r>
        <w:rPr>
          <w:rFonts w:hint="default" w:ascii="仿宋_GB2312" w:hAnsi="微软雅黑" w:eastAsia="仿宋_GB2312" w:cs="仿宋_GB2312"/>
          <w:color w:val="555555"/>
          <w:kern w:val="2"/>
          <w:sz w:val="32"/>
          <w:szCs w:val="32"/>
          <w:lang w:val="en-US" w:eastAsia="zh-CN" w:bidi="ar"/>
        </w:rPr>
        <w:t>（一）户籍或居住地（须办理当地居住证且在有效期内）在福建省；</w:t>
      </w:r>
    </w:p>
    <w:p>
      <w:pPr>
        <w:keepNext w:val="0"/>
        <w:keepLines w:val="0"/>
        <w:widowControl/>
        <w:numPr>
          <w:numId w:val="0"/>
        </w:numPr>
        <w:suppressLineNumbers w:val="0"/>
        <w:spacing w:before="0" w:beforeAutospacing="0" w:after="0" w:afterAutospacing="0" w:line="540" w:lineRule="atLeast"/>
        <w:ind w:left="0" w:right="0" w:firstLine="640" w:firstLineChars="200"/>
        <w:jc w:val="left"/>
      </w:pPr>
      <w:r>
        <w:rPr>
          <w:rFonts w:hint="default" w:ascii="仿宋_GB2312" w:hAnsi="微软雅黑" w:eastAsia="仿宋_GB2312" w:cs="仿宋_GB2312"/>
          <w:color w:val="555555"/>
          <w:kern w:val="2"/>
          <w:sz w:val="32"/>
          <w:szCs w:val="32"/>
          <w:lang w:val="en-US" w:eastAsia="zh-CN" w:bidi="ar"/>
        </w:rPr>
        <w:t>（二）福建省内全日制普通高等学校应届毕业生和在读研究生；</w:t>
      </w:r>
    </w:p>
    <w:p>
      <w:pPr>
        <w:keepNext w:val="0"/>
        <w:keepLines w:val="0"/>
        <w:widowControl/>
        <w:numPr>
          <w:numId w:val="0"/>
        </w:numPr>
        <w:suppressLineNumbers w:val="0"/>
        <w:spacing w:before="0" w:beforeAutospacing="0" w:after="0" w:afterAutospacing="0" w:line="540" w:lineRule="atLeast"/>
        <w:ind w:left="0" w:right="0" w:firstLine="640" w:firstLineChars="200"/>
        <w:jc w:val="left"/>
      </w:pPr>
      <w:r>
        <w:rPr>
          <w:rFonts w:hint="default" w:ascii="仿宋_GB2312" w:hAnsi="微软雅黑" w:eastAsia="仿宋_GB2312" w:cs="仿宋_GB2312"/>
          <w:color w:val="555555"/>
          <w:kern w:val="2"/>
          <w:sz w:val="32"/>
          <w:szCs w:val="32"/>
          <w:lang w:val="en-US" w:eastAsia="zh-CN" w:bidi="ar"/>
        </w:rPr>
        <w:t>（三）持有港澳台居民居住证在福建省学习、工作和生活的，或持有港澳台居民来往内地通行证、五年有效期台湾居民来往大陆通行证,在福建省参加中小学教师资格考试的港澳台居民；</w:t>
      </w:r>
    </w:p>
    <w:p>
      <w:pPr>
        <w:keepNext w:val="0"/>
        <w:keepLines w:val="0"/>
        <w:widowControl/>
        <w:numPr>
          <w:numId w:val="0"/>
        </w:numPr>
        <w:suppressLineNumbers w:val="0"/>
        <w:spacing w:before="0" w:beforeAutospacing="0" w:after="0" w:afterAutospacing="0" w:line="540" w:lineRule="atLeast"/>
        <w:ind w:left="0" w:right="0" w:firstLine="640" w:firstLineChars="200"/>
        <w:jc w:val="left"/>
      </w:pPr>
      <w:r>
        <w:rPr>
          <w:rFonts w:hint="default" w:ascii="仿宋_GB2312" w:hAnsi="微软雅黑" w:eastAsia="仿宋_GB2312" w:cs="仿宋_GB2312"/>
          <w:color w:val="555555"/>
          <w:kern w:val="2"/>
          <w:sz w:val="32"/>
          <w:szCs w:val="32"/>
          <w:lang w:val="en-US" w:eastAsia="zh-CN" w:bidi="ar"/>
        </w:rPr>
        <w:t>（四）驻闽部队现役军人（含现役武警）。</w:t>
      </w:r>
    </w:p>
    <w:p>
      <w:pPr>
        <w:keepNext w:val="0"/>
        <w:keepLines w:val="0"/>
        <w:widowControl/>
        <w:numPr>
          <w:numId w:val="0"/>
        </w:numPr>
        <w:suppressLineNumbers w:val="0"/>
        <w:spacing w:before="0" w:beforeAutospacing="0" w:after="0" w:afterAutospacing="0" w:line="540" w:lineRule="atLeast"/>
        <w:ind w:left="0" w:right="0" w:firstLine="640"/>
        <w:jc w:val="left"/>
      </w:pPr>
      <w:r>
        <w:rPr>
          <w:rFonts w:hint="eastAsia" w:ascii="黑体" w:hAnsi="宋体" w:eastAsia="黑体" w:cs="黑体"/>
          <w:color w:val="555555"/>
          <w:kern w:val="2"/>
          <w:sz w:val="32"/>
          <w:szCs w:val="32"/>
          <w:lang w:val="en-US" w:eastAsia="zh-CN" w:bidi="ar"/>
        </w:rPr>
        <w:t>四、认定条件</w:t>
      </w:r>
    </w:p>
    <w:p>
      <w:pPr>
        <w:keepNext w:val="0"/>
        <w:keepLines w:val="0"/>
        <w:widowControl/>
        <w:suppressLineNumbers w:val="0"/>
        <w:spacing w:before="0" w:beforeAutospacing="0" w:after="0" w:afterAutospacing="0" w:line="540" w:lineRule="atLeast"/>
        <w:ind w:left="0" w:right="0" w:firstLine="640"/>
        <w:jc w:val="left"/>
      </w:pPr>
      <w:r>
        <w:rPr>
          <w:rFonts w:hint="default" w:ascii="仿宋_GB2312" w:hAnsi="微软雅黑" w:eastAsia="仿宋_GB2312" w:cs="仿宋_GB2312"/>
          <w:color w:val="555555"/>
          <w:kern w:val="2"/>
          <w:sz w:val="32"/>
          <w:szCs w:val="32"/>
          <w:lang w:val="en-US" w:eastAsia="zh-CN" w:bidi="ar"/>
        </w:rPr>
        <w:t>（一）遵守宪法和法律，热爱教育事业，履行《教师法》</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规定的义务，遵守教师职业道德。</w:t>
      </w:r>
    </w:p>
    <w:p>
      <w:pPr>
        <w:keepNext w:val="0"/>
        <w:keepLines w:val="0"/>
        <w:widowControl/>
        <w:suppressLineNumbers w:val="0"/>
        <w:spacing w:before="0" w:beforeAutospacing="0" w:after="0" w:afterAutospacing="0" w:line="540" w:lineRule="atLeast"/>
        <w:ind w:left="0" w:right="0" w:firstLine="660"/>
        <w:jc w:val="left"/>
      </w:pPr>
      <w:r>
        <w:rPr>
          <w:rFonts w:hint="default" w:ascii="仿宋_GB2312" w:hAnsi="微软雅黑" w:eastAsia="仿宋_GB2312" w:cs="仿宋_GB2312"/>
          <w:color w:val="555555"/>
          <w:kern w:val="2"/>
          <w:sz w:val="32"/>
          <w:szCs w:val="32"/>
          <w:lang w:val="en-US" w:eastAsia="zh-CN" w:bidi="ar"/>
        </w:rPr>
        <w:t>（二）具有良好的身体素质和心理素质，符合申请认定教师资格的体检标准，经教师资格认定机构指定的二级甲等（县级）及以上医疗机构体检合格。</w:t>
      </w:r>
    </w:p>
    <w:p>
      <w:pPr>
        <w:keepNext w:val="0"/>
        <w:keepLines w:val="0"/>
        <w:widowControl/>
        <w:suppressLineNumbers w:val="0"/>
        <w:spacing w:before="0" w:beforeAutospacing="0" w:after="0" w:afterAutospacing="0" w:line="540" w:lineRule="atLeast"/>
        <w:ind w:left="0" w:right="0" w:firstLine="660"/>
        <w:jc w:val="left"/>
      </w:pPr>
      <w:r>
        <w:rPr>
          <w:rFonts w:hint="default" w:ascii="仿宋_GB2312" w:hAnsi="微软雅黑" w:eastAsia="仿宋_GB2312" w:cs="仿宋_GB2312"/>
          <w:color w:val="555555"/>
          <w:kern w:val="2"/>
          <w:sz w:val="32"/>
          <w:szCs w:val="32"/>
          <w:lang w:val="en-US" w:eastAsia="zh-CN" w:bidi="ar"/>
        </w:rPr>
        <w:t>（三）符合《教师法》规定的学历要求，其中申请认定中等职业学校实习指导教师资格的，应当具备大学专科学校毕业及其以上学历，同时还应具备助理工程师以上专业技术职务或中级以上工人技术等级。</w:t>
      </w:r>
    </w:p>
    <w:p>
      <w:pPr>
        <w:keepNext w:val="0"/>
        <w:keepLines w:val="0"/>
        <w:widowControl/>
        <w:suppressLineNumbers w:val="0"/>
        <w:spacing w:before="0" w:beforeAutospacing="0" w:after="0" w:afterAutospacing="0" w:line="540" w:lineRule="atLeast"/>
        <w:ind w:left="0" w:right="0" w:firstLine="660"/>
        <w:jc w:val="left"/>
      </w:pPr>
      <w:r>
        <w:rPr>
          <w:rFonts w:hint="default" w:ascii="仿宋_GB2312" w:hAnsi="微软雅黑" w:eastAsia="仿宋_GB2312" w:cs="仿宋_GB2312"/>
          <w:color w:val="555555"/>
          <w:kern w:val="2"/>
          <w:sz w:val="32"/>
          <w:szCs w:val="32"/>
          <w:lang w:val="en-US" w:eastAsia="zh-CN" w:bidi="ar"/>
        </w:rPr>
        <w:t>（四）达到国家语言文字工作委员会颁布的《普通话水平测试等级标准》二级乙等及以上水平，其中语文教师和对外汉语教学教师应达到二级甲等及以上水平。</w:t>
      </w:r>
    </w:p>
    <w:p>
      <w:pPr>
        <w:keepNext w:val="0"/>
        <w:keepLines w:val="0"/>
        <w:widowControl/>
        <w:suppressLineNumbers w:val="0"/>
        <w:spacing w:before="0" w:beforeAutospacing="0" w:after="0" w:afterAutospacing="0" w:line="540" w:lineRule="atLeast"/>
        <w:ind w:left="0" w:right="0" w:firstLine="640" w:firstLineChars="200"/>
        <w:jc w:val="left"/>
      </w:pPr>
      <w:r>
        <w:rPr>
          <w:rFonts w:hint="eastAsia" w:ascii="黑体" w:hAnsi="宋体" w:eastAsia="黑体" w:cs="黑体"/>
          <w:color w:val="555555"/>
          <w:kern w:val="2"/>
          <w:sz w:val="32"/>
          <w:szCs w:val="32"/>
          <w:lang w:val="en-US" w:eastAsia="zh-CN" w:bidi="ar"/>
        </w:rPr>
        <w:t>五、认定程序</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 xml:space="preserve">  </w:t>
      </w:r>
      <w:r>
        <w:rPr>
          <w:rFonts w:ascii="楷体_GB2312" w:hAnsi="微软雅黑" w:eastAsia="楷体_GB2312" w:cs="楷体_GB2312"/>
          <w:b/>
          <w:color w:val="555555"/>
          <w:kern w:val="0"/>
          <w:sz w:val="32"/>
          <w:szCs w:val="32"/>
          <w:lang w:val="en-US" w:eastAsia="zh-CN" w:bidi="ar"/>
        </w:rPr>
        <w:t>（一）网上报名。</w:t>
      </w:r>
      <w:r>
        <w:rPr>
          <w:rFonts w:hint="default" w:ascii="仿宋_GB2312" w:hAnsi="微软雅黑" w:eastAsia="仿宋_GB2312" w:cs="仿宋_GB2312"/>
          <w:color w:val="555555"/>
          <w:kern w:val="2"/>
          <w:sz w:val="32"/>
          <w:szCs w:val="32"/>
          <w:lang w:val="en-US" w:eastAsia="zh-CN" w:bidi="ar"/>
        </w:rPr>
        <w:t>教师资格认定申请实行网上报名，符合条件的申请人员应在相应认定机构规定的网上报名时间内登陆中国教师资格网(</w:t>
      </w:r>
      <w:r>
        <w:rPr>
          <w:rFonts w:hint="eastAsia" w:ascii="微软雅黑" w:hAnsi="微软雅黑" w:eastAsia="微软雅黑" w:cs="微软雅黑"/>
          <w:kern w:val="0"/>
          <w:sz w:val="24"/>
          <w:szCs w:val="24"/>
          <w:u w:val="none"/>
          <w:lang w:val="en-US" w:eastAsia="zh-CN" w:bidi="ar"/>
        </w:rPr>
        <w:fldChar w:fldCharType="begin"/>
      </w:r>
      <w:r>
        <w:rPr>
          <w:rFonts w:hint="eastAsia" w:ascii="微软雅黑" w:hAnsi="微软雅黑" w:eastAsia="微软雅黑" w:cs="微软雅黑"/>
          <w:kern w:val="0"/>
          <w:sz w:val="24"/>
          <w:szCs w:val="24"/>
          <w:u w:val="none"/>
          <w:lang w:val="en-US" w:eastAsia="zh-CN" w:bidi="ar"/>
        </w:rPr>
        <w:instrText xml:space="preserve"> HYPERLINK "http://www.jszg.edu.cn/" </w:instrText>
      </w:r>
      <w:r>
        <w:rPr>
          <w:rFonts w:hint="eastAsia" w:ascii="微软雅黑" w:hAnsi="微软雅黑" w:eastAsia="微软雅黑" w:cs="微软雅黑"/>
          <w:kern w:val="0"/>
          <w:sz w:val="24"/>
          <w:szCs w:val="24"/>
          <w:u w:val="none"/>
          <w:lang w:val="en-US" w:eastAsia="zh-CN" w:bidi="ar"/>
        </w:rPr>
        <w:fldChar w:fldCharType="separate"/>
      </w:r>
      <w:r>
        <w:rPr>
          <w:rStyle w:val="7"/>
          <w:rFonts w:hint="default" w:ascii="仿宋_GB2312" w:hAnsi="微软雅黑" w:eastAsia="仿宋_GB2312" w:cs="仿宋_GB2312"/>
          <w:kern w:val="2"/>
          <w:sz w:val="32"/>
          <w:szCs w:val="32"/>
          <w:u w:val="none"/>
        </w:rPr>
        <w:t>www.jszg.edu.cn</w:t>
      </w:r>
      <w:r>
        <w:rPr>
          <w:rFonts w:hint="eastAsia" w:ascii="微软雅黑" w:hAnsi="微软雅黑" w:eastAsia="微软雅黑" w:cs="微软雅黑"/>
          <w:kern w:val="0"/>
          <w:sz w:val="24"/>
          <w:szCs w:val="24"/>
          <w:u w:val="none"/>
          <w:lang w:val="en-US" w:eastAsia="zh-CN" w:bidi="ar"/>
        </w:rPr>
        <w:fldChar w:fldCharType="end"/>
      </w:r>
      <w:r>
        <w:rPr>
          <w:rFonts w:hint="default" w:ascii="仿宋_GB2312" w:hAnsi="微软雅黑" w:eastAsia="仿宋_GB2312" w:cs="仿宋_GB2312"/>
          <w:color w:val="555555"/>
          <w:kern w:val="2"/>
          <w:sz w:val="32"/>
          <w:szCs w:val="32"/>
          <w:lang w:val="en-US" w:eastAsia="zh-CN" w:bidi="ar"/>
        </w:rPr>
        <w:t>) 从“教师资格认定申请人网报入口”进行申报，填写报名信息。同一申请人每次只能申请一种教师资格，成功申领后的一年内不能再申领第二本教师资格证书。</w:t>
      </w:r>
    </w:p>
    <w:p>
      <w:pPr>
        <w:keepNext w:val="0"/>
        <w:keepLines w:val="0"/>
        <w:widowControl/>
        <w:suppressLineNumbers w:val="0"/>
        <w:spacing w:before="0" w:beforeAutospacing="0" w:after="0" w:afterAutospacing="0" w:line="540" w:lineRule="atLeast"/>
        <w:ind w:left="0" w:right="0" w:firstLine="643" w:firstLineChars="200"/>
        <w:jc w:val="left"/>
      </w:pPr>
      <w:r>
        <w:rPr>
          <w:rFonts w:hint="default" w:ascii="楷体_GB2312" w:hAnsi="微软雅黑" w:eastAsia="楷体_GB2312" w:cs="楷体_GB2312"/>
          <w:b/>
          <w:color w:val="555555"/>
          <w:kern w:val="0"/>
          <w:sz w:val="32"/>
          <w:szCs w:val="32"/>
          <w:lang w:val="en-US" w:eastAsia="zh-CN" w:bidi="ar"/>
        </w:rPr>
        <w:t>（二）体格检查。</w:t>
      </w:r>
      <w:r>
        <w:rPr>
          <w:rFonts w:hint="default" w:ascii="仿宋_GB2312" w:hAnsi="微软雅黑" w:eastAsia="仿宋_GB2312" w:cs="仿宋_GB2312"/>
          <w:color w:val="555555"/>
          <w:kern w:val="2"/>
          <w:sz w:val="32"/>
          <w:szCs w:val="32"/>
          <w:lang w:val="en-US" w:eastAsia="zh-CN" w:bidi="ar"/>
        </w:rPr>
        <w:t>各认定机构组织申请人按规定流程和体检标准，在指定的医院进行体格检查。具体安排以各认定机构网站发布的认定公告为准。</w:t>
      </w:r>
    </w:p>
    <w:p>
      <w:pPr>
        <w:keepNext w:val="0"/>
        <w:keepLines w:val="0"/>
        <w:widowControl/>
        <w:suppressLineNumbers w:val="0"/>
        <w:spacing w:before="0" w:beforeAutospacing="0" w:after="0" w:afterAutospacing="0" w:line="540" w:lineRule="atLeast"/>
        <w:ind w:left="0" w:right="0" w:firstLine="643" w:firstLineChars="200"/>
        <w:jc w:val="left"/>
      </w:pPr>
      <w:r>
        <w:rPr>
          <w:rFonts w:hint="default" w:ascii="楷体_GB2312" w:hAnsi="微软雅黑" w:eastAsia="楷体_GB2312" w:cs="楷体_GB2312"/>
          <w:b/>
          <w:color w:val="555555"/>
          <w:kern w:val="0"/>
          <w:sz w:val="32"/>
          <w:szCs w:val="32"/>
          <w:lang w:val="en-US" w:eastAsia="zh-CN" w:bidi="ar"/>
        </w:rPr>
        <w:t>（三）现场确认（受理）。</w:t>
      </w:r>
      <w:r>
        <w:rPr>
          <w:rFonts w:hint="default" w:ascii="仿宋_GB2312" w:hAnsi="微软雅黑" w:eastAsia="仿宋_GB2312" w:cs="仿宋_GB2312"/>
          <w:color w:val="555555"/>
          <w:kern w:val="2"/>
          <w:sz w:val="32"/>
          <w:szCs w:val="32"/>
          <w:lang w:val="en-US" w:eastAsia="zh-CN" w:bidi="ar"/>
        </w:rPr>
        <w:t>网上申请成功后，申请人还须准备好教师资格认定申请材料，在认定机构规定的时间进行提交、现场确认报名。全日制师范类专业应届毕业生可委托所在高校统一办理。</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 xml:space="preserve"> </w:t>
      </w:r>
      <w:r>
        <w:rPr>
          <w:rFonts w:hint="default" w:ascii="楷体_GB2312" w:hAnsi="微软雅黑" w:eastAsia="楷体_GB2312" w:cs="楷体_GB2312"/>
          <w:b/>
          <w:color w:val="555555"/>
          <w:kern w:val="0"/>
          <w:sz w:val="32"/>
          <w:szCs w:val="32"/>
          <w:lang w:val="en-US" w:eastAsia="zh-CN" w:bidi="ar"/>
        </w:rPr>
        <w:t>　（四）审核认定。</w:t>
      </w:r>
      <w:r>
        <w:rPr>
          <w:rFonts w:hint="default" w:ascii="仿宋_GB2312" w:hAnsi="微软雅黑" w:eastAsia="仿宋_GB2312" w:cs="仿宋_GB2312"/>
          <w:color w:val="555555"/>
          <w:kern w:val="2"/>
          <w:sz w:val="32"/>
          <w:szCs w:val="32"/>
          <w:lang w:val="en-US" w:eastAsia="zh-CN" w:bidi="ar"/>
        </w:rPr>
        <w:t>教师资格认定机构对申请人提交的申请材料进行审核，在规定的时间内做出是否认定教师资格的结论，并将认定结果通知申请人。</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 xml:space="preserve"> </w:t>
      </w:r>
      <w:r>
        <w:rPr>
          <w:rFonts w:hint="default" w:ascii="仿宋_GB2312" w:hAnsi="微软雅黑" w:eastAsia="仿宋_GB2312" w:cs="仿宋_GB2312"/>
          <w:b/>
          <w:color w:val="555555"/>
          <w:kern w:val="0"/>
          <w:sz w:val="32"/>
          <w:szCs w:val="32"/>
          <w:lang w:val="en-US" w:eastAsia="zh-CN" w:bidi="ar"/>
        </w:rPr>
        <w:t>　</w:t>
      </w:r>
      <w:r>
        <w:rPr>
          <w:rFonts w:hint="default" w:ascii="楷体_GB2312" w:hAnsi="微软雅黑" w:eastAsia="楷体_GB2312" w:cs="楷体_GB2312"/>
          <w:b/>
          <w:color w:val="555555"/>
          <w:kern w:val="0"/>
          <w:sz w:val="32"/>
          <w:szCs w:val="32"/>
          <w:lang w:val="en-US" w:eastAsia="zh-CN" w:bidi="ar"/>
        </w:rPr>
        <w:t>（五）颁发证书。</w:t>
      </w:r>
      <w:r>
        <w:rPr>
          <w:rFonts w:hint="default" w:ascii="仿宋_GB2312" w:hAnsi="微软雅黑" w:eastAsia="仿宋_GB2312" w:cs="仿宋_GB2312"/>
          <w:color w:val="555555"/>
          <w:kern w:val="2"/>
          <w:sz w:val="32"/>
          <w:szCs w:val="32"/>
          <w:lang w:val="en-US" w:eastAsia="zh-CN" w:bidi="ar"/>
        </w:rPr>
        <w:t>符合法定的认定条件者，颁发相应的《教师资格证书》。</w:t>
      </w:r>
    </w:p>
    <w:p>
      <w:pPr>
        <w:keepNext w:val="0"/>
        <w:keepLines w:val="0"/>
        <w:widowControl/>
        <w:suppressLineNumbers w:val="0"/>
        <w:spacing w:before="0" w:beforeAutospacing="0" w:after="0" w:afterAutospacing="0" w:line="540" w:lineRule="atLeast"/>
        <w:ind w:left="0" w:right="0" w:firstLine="640" w:firstLineChars="200"/>
        <w:jc w:val="left"/>
      </w:pPr>
      <w:r>
        <w:rPr>
          <w:rFonts w:hint="eastAsia" w:ascii="黑体" w:hAnsi="宋体" w:eastAsia="黑体" w:cs="黑体"/>
          <w:color w:val="555555"/>
          <w:kern w:val="2"/>
          <w:sz w:val="32"/>
          <w:szCs w:val="32"/>
          <w:lang w:val="en-US" w:eastAsia="zh-CN" w:bidi="ar"/>
        </w:rPr>
        <w:t>六、申请材料</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 xml:space="preserve">  1.身份证原件（在有效期内）。</w:t>
      </w:r>
    </w:p>
    <w:p>
      <w:pPr>
        <w:keepNext w:val="0"/>
        <w:keepLines w:val="0"/>
        <w:widowControl/>
        <w:suppressLineNumbers w:val="0"/>
        <w:spacing w:before="0" w:beforeAutospacing="0" w:after="0" w:afterAutospacing="0" w:line="540" w:lineRule="atLeast"/>
        <w:ind w:left="0" w:right="0" w:firstLine="640" w:firstLineChars="200"/>
        <w:jc w:val="left"/>
      </w:pPr>
      <w:r>
        <w:rPr>
          <w:rFonts w:hint="default" w:ascii="仿宋_GB2312" w:hAnsi="微软雅黑" w:eastAsia="仿宋_GB2312" w:cs="仿宋_GB2312"/>
          <w:color w:val="555555"/>
          <w:kern w:val="2"/>
          <w:sz w:val="32"/>
          <w:szCs w:val="32"/>
          <w:lang w:val="en-US" w:eastAsia="zh-CN" w:bidi="ar"/>
        </w:rPr>
        <w:t>2.在户籍所在地申请认定的，提交本人户口本或集体户口证明原件;在居住地申请认定的，应当提交有效的居住证原件；以就读学校所在地申请认定的，提交注册信息完整的学生证原件。</w:t>
      </w:r>
    </w:p>
    <w:p>
      <w:pPr>
        <w:keepNext w:val="0"/>
        <w:keepLines w:val="0"/>
        <w:widowControl/>
        <w:suppressLineNumbers w:val="0"/>
        <w:spacing w:before="0" w:beforeAutospacing="0" w:after="0" w:afterAutospacing="0" w:line="540" w:lineRule="atLeast"/>
        <w:ind w:left="0" w:right="0" w:firstLine="640" w:firstLineChars="200"/>
        <w:jc w:val="left"/>
      </w:pPr>
      <w:r>
        <w:rPr>
          <w:rFonts w:hint="default" w:ascii="仿宋_GB2312" w:hAnsi="微软雅黑" w:eastAsia="仿宋_GB2312" w:cs="仿宋_GB2312"/>
          <w:color w:val="555555"/>
          <w:kern w:val="2"/>
          <w:sz w:val="32"/>
          <w:szCs w:val="32"/>
          <w:lang w:val="en-US" w:eastAsia="zh-CN" w:bidi="ar"/>
        </w:rPr>
        <w:t>3.</w:t>
      </w:r>
      <w:r>
        <w:rPr>
          <w:rFonts w:hint="default" w:ascii="仿宋_GB2312" w:hAnsi="微软雅黑" w:eastAsia="仿宋_GB2312" w:cs="仿宋_GB2312"/>
          <w:color w:val="555555"/>
          <w:spacing w:val="-6"/>
          <w:kern w:val="2"/>
          <w:sz w:val="32"/>
          <w:szCs w:val="32"/>
          <w:lang w:val="en-US" w:eastAsia="zh-CN" w:bidi="ar"/>
        </w:rPr>
        <w:t>学历证书原件，其中，全日制应届毕业生在现场确认时尚未取得学历证书的，应提供所在高校教务部门出具的全部所学课程及成绩证明。港澳台学历还应同时提交教育部留学服务中心出具的《港澳台学历认证书》原件，国外学历还应同时提交教育部</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spacing w:val="-6"/>
          <w:kern w:val="2"/>
          <w:sz w:val="32"/>
          <w:szCs w:val="32"/>
          <w:lang w:val="en-US" w:eastAsia="zh-CN" w:bidi="ar"/>
        </w:rPr>
        <w:t>留学服务中心出具的《国外学历认证书》的原件。</w:t>
      </w:r>
      <w:r>
        <w:rPr>
          <w:rFonts w:hint="default" w:ascii="仿宋_GB2312" w:hAnsi="微软雅黑" w:eastAsia="仿宋_GB2312" w:cs="仿宋_GB2312"/>
          <w:color w:val="555555"/>
          <w:kern w:val="2"/>
          <w:sz w:val="32"/>
          <w:szCs w:val="32"/>
          <w:lang w:val="en-US" w:eastAsia="zh-CN" w:bidi="ar"/>
        </w:rPr>
        <w:t>学历信息经过中国教师资格网电子信息比对的可不提交。</w:t>
      </w:r>
    </w:p>
    <w:p>
      <w:pPr>
        <w:keepNext w:val="0"/>
        <w:keepLines w:val="0"/>
        <w:widowControl/>
        <w:suppressLineNumbers w:val="0"/>
        <w:spacing w:before="0" w:beforeAutospacing="0" w:after="0" w:afterAutospacing="0" w:line="540" w:lineRule="atLeast"/>
        <w:ind w:left="0" w:right="0" w:firstLine="640" w:firstLineChars="200"/>
        <w:jc w:val="left"/>
      </w:pPr>
      <w:r>
        <w:rPr>
          <w:rFonts w:hint="default" w:ascii="仿宋_GB2312" w:hAnsi="微软雅黑" w:eastAsia="仿宋_GB2312" w:cs="仿宋_GB2312"/>
          <w:color w:val="555555"/>
          <w:kern w:val="2"/>
          <w:sz w:val="32"/>
          <w:szCs w:val="32"/>
          <w:lang w:val="en-US" w:eastAsia="zh-CN" w:bidi="ar"/>
        </w:rPr>
        <w:t>5.考试合格证明，经中国教师资格网验证通过的可不提交，否则需由申请人在中小学教师资格考试网（ntce.neea.edu.cn）上自行打印进一步确认。</w:t>
      </w:r>
    </w:p>
    <w:p>
      <w:pPr>
        <w:keepNext w:val="0"/>
        <w:keepLines w:val="0"/>
        <w:widowControl/>
        <w:suppressLineNumbers w:val="0"/>
        <w:spacing w:before="0" w:beforeAutospacing="0" w:after="0" w:afterAutospacing="0" w:line="540" w:lineRule="atLeast"/>
        <w:ind w:left="0" w:right="0" w:firstLine="645"/>
        <w:jc w:val="left"/>
      </w:pPr>
      <w:r>
        <w:rPr>
          <w:rFonts w:hint="default" w:ascii="仿宋_GB2312" w:hAnsi="微软雅黑" w:eastAsia="仿宋_GB2312" w:cs="仿宋_GB2312"/>
          <w:color w:val="555555"/>
          <w:kern w:val="2"/>
          <w:sz w:val="32"/>
          <w:szCs w:val="32"/>
          <w:lang w:val="en-US" w:eastAsia="zh-CN" w:bidi="ar"/>
        </w:rPr>
        <w:t>6.《个人承诺书》（申请人在网上申报界面下载打印、本人签名拍照后，在填写申报信息时按程序要求上传）</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 xml:space="preserve">  7.普通话水平测试等级证明原件（普通话水平测试等级经过中国教师资格网电子信息比对成功的可不提交）。</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 xml:space="preserve">  8.《福建省教师资格申请人员体检表》原件。</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 xml:space="preserve">  9.近期免冠正面一寸彩色白底证件照一张（与网报上传照片同版）。</w:t>
      </w:r>
    </w:p>
    <w:p>
      <w:pPr>
        <w:keepNext w:val="0"/>
        <w:keepLines w:val="0"/>
        <w:widowControl/>
        <w:suppressLineNumbers w:val="0"/>
        <w:spacing w:before="0" w:beforeAutospacing="0" w:after="0" w:afterAutospacing="0" w:line="540" w:lineRule="atLeast"/>
        <w:ind w:left="0" w:right="0" w:firstLine="640"/>
        <w:jc w:val="left"/>
      </w:pPr>
      <w:r>
        <w:rPr>
          <w:rFonts w:hint="default" w:ascii="仿宋_GB2312" w:hAnsi="微软雅黑" w:eastAsia="仿宋_GB2312" w:cs="仿宋_GB2312"/>
          <w:color w:val="555555"/>
          <w:kern w:val="2"/>
          <w:sz w:val="32"/>
          <w:szCs w:val="32"/>
          <w:lang w:val="en-US" w:eastAsia="zh-CN" w:bidi="ar"/>
        </w:rPr>
        <w:t>10.教师资格认定机构要求提供的其它证明材料。申请中等职业学校实习指导教师资格的，还应提供助理工程师以上专业技术职务或中级以上工人技术等级证书原件。</w:t>
      </w:r>
    </w:p>
    <w:p>
      <w:pPr>
        <w:keepNext w:val="0"/>
        <w:keepLines w:val="0"/>
        <w:widowControl/>
        <w:suppressLineNumbers w:val="0"/>
        <w:spacing w:before="0" w:beforeAutospacing="0" w:after="0" w:afterAutospacing="0" w:line="540" w:lineRule="atLeast"/>
        <w:ind w:left="0" w:right="0" w:firstLine="640" w:firstLineChars="200"/>
        <w:jc w:val="left"/>
      </w:pPr>
      <w:r>
        <w:rPr>
          <w:rFonts w:hint="eastAsia" w:ascii="黑体" w:hAnsi="宋体" w:eastAsia="黑体" w:cs="黑体"/>
          <w:color w:val="555555"/>
          <w:kern w:val="2"/>
          <w:sz w:val="32"/>
          <w:szCs w:val="32"/>
          <w:lang w:val="en-US" w:eastAsia="zh-CN" w:bidi="ar"/>
        </w:rPr>
        <w:t>七、其他事项</w:t>
      </w:r>
    </w:p>
    <w:p>
      <w:pPr>
        <w:keepNext w:val="0"/>
        <w:keepLines w:val="0"/>
        <w:widowControl/>
        <w:suppressLineNumbers w:val="0"/>
        <w:spacing w:before="0" w:beforeAutospacing="0" w:after="0" w:afterAutospacing="0" w:line="540" w:lineRule="atLeast"/>
        <w:ind w:left="0" w:right="0" w:firstLine="646"/>
        <w:jc w:val="left"/>
      </w:pPr>
      <w:r>
        <w:rPr>
          <w:rFonts w:hint="default" w:ascii="仿宋_GB2312" w:hAnsi="微软雅黑" w:eastAsia="仿宋_GB2312" w:cs="仿宋_GB2312"/>
          <w:color w:val="555555"/>
          <w:kern w:val="2"/>
          <w:sz w:val="32"/>
          <w:szCs w:val="32"/>
          <w:lang w:val="en-US" w:eastAsia="zh-CN" w:bidi="ar"/>
        </w:rPr>
        <w:t>（一）2020年6月30日和2020年12月31日到期的《中小学教师资格考试合格证明》，有效期延长1年。</w:t>
      </w:r>
    </w:p>
    <w:p>
      <w:pPr>
        <w:keepNext w:val="0"/>
        <w:keepLines w:val="0"/>
        <w:widowControl/>
        <w:numPr>
          <w:numId w:val="0"/>
        </w:numPr>
        <w:suppressLineNumbers w:val="0"/>
        <w:spacing w:before="0" w:beforeAutospacing="0" w:after="0" w:afterAutospacing="0" w:line="540" w:lineRule="atLeast"/>
        <w:ind w:left="0" w:right="0" w:firstLine="646"/>
        <w:jc w:val="left"/>
      </w:pPr>
      <w:r>
        <w:rPr>
          <w:rFonts w:hint="default" w:ascii="仿宋_GB2312" w:hAnsi="微软雅黑" w:eastAsia="仿宋_GB2312" w:cs="仿宋_GB2312"/>
          <w:color w:val="555555"/>
          <w:kern w:val="2"/>
          <w:sz w:val="32"/>
          <w:szCs w:val="32"/>
          <w:lang w:val="en-US" w:eastAsia="zh-CN" w:bidi="ar"/>
        </w:rPr>
        <w:t>（二）其他未尽事宜详见各有关认定机构网站发布的通知公告，请申请人务必及时查阅，以免错过认定机构的工作安排。</w:t>
      </w:r>
    </w:p>
    <w:p>
      <w:pPr>
        <w:keepNext w:val="0"/>
        <w:keepLines w:val="0"/>
        <w:widowControl/>
        <w:numPr>
          <w:numId w:val="0"/>
        </w:numPr>
        <w:suppressLineNumbers w:val="0"/>
        <w:spacing w:before="0" w:beforeAutospacing="0" w:after="0" w:afterAutospacing="0" w:line="540" w:lineRule="atLeast"/>
        <w:ind w:left="0" w:right="0" w:firstLine="646"/>
        <w:jc w:val="left"/>
      </w:pPr>
      <w:r>
        <w:rPr>
          <w:rFonts w:hint="default" w:ascii="仿宋_GB2312" w:hAnsi="微软雅黑" w:eastAsia="仿宋_GB2312" w:cs="仿宋_GB2312"/>
          <w:color w:val="555555"/>
          <w:kern w:val="2"/>
          <w:sz w:val="32"/>
          <w:szCs w:val="32"/>
          <w:lang w:val="en-US" w:eastAsia="zh-CN" w:bidi="ar"/>
        </w:rPr>
        <w:t>（三）请申请人按各有关认定机构规定的时间、地点和要</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求进行网上申报和现场审核等，因错过申报时间、选错认定机构或现场确认点、申报信息有误或提交材料不全等原因未在规定时间内完成申报工作的，认定机构将不再受理，责任由申请人本人承担。</w:t>
      </w:r>
    </w:p>
    <w:p>
      <w:pPr>
        <w:keepNext w:val="0"/>
        <w:keepLines w:val="0"/>
        <w:widowControl/>
        <w:numPr>
          <w:numId w:val="0"/>
        </w:numPr>
        <w:suppressLineNumbers w:val="0"/>
        <w:spacing w:before="0" w:beforeAutospacing="0" w:after="0" w:afterAutospacing="0" w:line="540" w:lineRule="atLeast"/>
        <w:ind w:left="0" w:right="0" w:firstLine="646"/>
        <w:jc w:val="left"/>
      </w:pPr>
      <w:r>
        <w:rPr>
          <w:rFonts w:hint="default" w:ascii="仿宋_GB2312" w:hAnsi="微软雅黑" w:eastAsia="仿宋_GB2312" w:cs="仿宋_GB2312"/>
          <w:color w:val="555555"/>
          <w:kern w:val="2"/>
          <w:sz w:val="32"/>
          <w:szCs w:val="32"/>
          <w:lang w:val="en-US" w:eastAsia="zh-CN" w:bidi="ar"/>
        </w:rPr>
        <w:t>（四）申请人应如实提交相关材料，故意弄虚作假，骗取教师资格的将依据国家有关规定进行处罚。</w:t>
      </w:r>
    </w:p>
    <w:p>
      <w:pPr>
        <w:keepNext w:val="0"/>
        <w:keepLines w:val="0"/>
        <w:widowControl/>
        <w:numPr>
          <w:numId w:val="0"/>
        </w:numPr>
        <w:suppressLineNumbers w:val="0"/>
        <w:spacing w:before="0" w:beforeAutospacing="0" w:after="0" w:afterAutospacing="0" w:line="540" w:lineRule="atLeast"/>
        <w:ind w:left="0" w:right="0" w:firstLine="646"/>
        <w:jc w:val="left"/>
      </w:pPr>
      <w:r>
        <w:rPr>
          <w:rFonts w:hint="default" w:ascii="仿宋_GB2312" w:hAnsi="微软雅黑" w:eastAsia="仿宋_GB2312" w:cs="仿宋_GB2312"/>
          <w:color w:val="555555"/>
          <w:kern w:val="2"/>
          <w:sz w:val="32"/>
          <w:szCs w:val="32"/>
          <w:lang w:val="en-US" w:eastAsia="zh-CN" w:bidi="ar"/>
        </w:rPr>
        <w:t>（五）各地根据常态化疫情防控的有关要求做好教师资格认定的相关组织工作。</w:t>
      </w:r>
    </w:p>
    <w:p>
      <w:pPr>
        <w:pStyle w:val="3"/>
        <w:keepNext w:val="0"/>
        <w:keepLines w:val="0"/>
        <w:widowControl/>
        <w:suppressLineNumbers w:val="0"/>
        <w:spacing w:before="0" w:beforeAutospacing="0" w:after="0" w:afterAutospacing="0" w:line="450" w:lineRule="atLeast"/>
        <w:ind w:left="0" w:right="0" w:firstLine="200"/>
        <w:jc w:val="left"/>
      </w:pPr>
      <w:r>
        <w:rPr>
          <w:rFonts w:hint="eastAsia" w:ascii="微软雅黑" w:hAnsi="微软雅黑" w:eastAsia="微软雅黑" w:cs="微软雅黑"/>
          <w:color w:val="555555"/>
          <w:sz w:val="20"/>
          <w:szCs w:val="20"/>
        </w:rPr>
        <w:t> </w:t>
      </w:r>
    </w:p>
    <w:p>
      <w:pPr>
        <w:pStyle w:val="3"/>
        <w:keepNext w:val="0"/>
        <w:keepLines w:val="0"/>
        <w:widowControl/>
        <w:suppressLineNumbers w:val="0"/>
        <w:spacing w:before="0" w:beforeAutospacing="0" w:after="0" w:afterAutospacing="0" w:line="450" w:lineRule="atLeast"/>
        <w:ind w:left="0" w:right="0" w:firstLine="240"/>
        <w:jc w:val="left"/>
      </w:pPr>
      <w:r>
        <w:rPr>
          <w:rFonts w:hint="eastAsia" w:ascii="微软雅黑" w:hAnsi="微软雅黑" w:eastAsia="微软雅黑" w:cs="微软雅黑"/>
          <w:color w:val="555555"/>
          <w:sz w:val="24"/>
          <w:szCs w:val="24"/>
        </w:rPr>
        <w:t> </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 xml:space="preserve"> </w:t>
      </w:r>
    </w:p>
    <w:p>
      <w:pPr>
        <w:keepNext w:val="0"/>
        <w:keepLines w:val="0"/>
        <w:widowControl/>
        <w:suppressLineNumbers w:val="0"/>
        <w:spacing w:before="0" w:beforeAutospacing="0" w:after="0" w:afterAutospacing="0" w:line="540" w:lineRule="atLeast"/>
        <w:ind w:left="0" w:right="0"/>
        <w:jc w:val="left"/>
      </w:pPr>
      <w:r>
        <w:rPr>
          <w:rFonts w:hint="default" w:ascii="仿宋_GB2312" w:hAnsi="微软雅黑" w:eastAsia="仿宋_GB2312" w:cs="仿宋_GB2312"/>
          <w:color w:val="555555"/>
          <w:kern w:val="2"/>
          <w:sz w:val="32"/>
          <w:szCs w:val="32"/>
          <w:lang w:val="en-US" w:eastAsia="zh-CN" w:bidi="ar"/>
        </w:rPr>
        <w:t xml:space="preserve">                                 福建省教育厅</w:t>
      </w:r>
    </w:p>
    <w:p>
      <w:pPr>
        <w:keepNext w:val="0"/>
        <w:keepLines w:val="0"/>
        <w:widowControl/>
        <w:suppressLineNumbers w:val="0"/>
        <w:spacing w:before="0" w:beforeAutospacing="0" w:after="0" w:afterAutospacing="0" w:line="450" w:lineRule="atLeast"/>
        <w:ind w:left="0" w:right="0"/>
        <w:jc w:val="left"/>
      </w:pPr>
      <w:r>
        <w:rPr>
          <w:rFonts w:hint="default" w:ascii="仿宋_GB2312" w:hAnsi="微软雅黑" w:eastAsia="仿宋_GB2312" w:cs="仿宋_GB2312"/>
          <w:color w:val="555555"/>
          <w:kern w:val="2"/>
          <w:sz w:val="32"/>
          <w:szCs w:val="32"/>
          <w:lang w:val="en-US" w:eastAsia="zh-CN" w:bidi="ar"/>
        </w:rPr>
        <w:t xml:space="preserve">                              2020年5月18</w:t>
      </w:r>
      <w:bookmarkStart w:id="0" w:name="抄送"/>
      <w:bookmarkEnd w:id="0"/>
      <w:r>
        <w:rPr>
          <w:rFonts w:hint="default" w:ascii="仿宋_GB2312" w:hAnsi="微软雅黑" w:eastAsia="仿宋_GB2312" w:cs="仿宋_GB2312"/>
          <w:color w:val="555555"/>
          <w:kern w:val="2"/>
          <w:sz w:val="32"/>
          <w:szCs w:val="32"/>
          <w:lang w:val="en-US" w:eastAsia="zh-CN" w:bidi="ar"/>
        </w:rPr>
        <w:t>日</w:t>
      </w:r>
    </w:p>
    <w:p>
      <w:pPr>
        <w:keepNext w:val="0"/>
        <w:keepLines w:val="0"/>
        <w:widowControl/>
        <w:suppressLineNumbers w:val="0"/>
        <w:spacing w:before="0" w:beforeAutospacing="0" w:after="0" w:afterAutospacing="0" w:line="450" w:lineRule="atLeast"/>
        <w:ind w:left="0" w:right="0"/>
        <w:jc w:val="left"/>
      </w:pPr>
      <w:r>
        <w:rPr>
          <w:rFonts w:hint="eastAsia" w:ascii="微软雅黑" w:hAnsi="微软雅黑" w:eastAsia="微软雅黑" w:cs="微软雅黑"/>
          <w:color w:val="555555"/>
          <w:kern w:val="0"/>
          <w:sz w:val="21"/>
          <w:szCs w:val="21"/>
          <w:lang w:val="en-US" w:eastAsia="zh-CN" w:bidi="ar"/>
        </w:rPr>
        <w:t>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3"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F5"/>
    <w:rsid w:val="00117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0E86E0"/>
      <w:kern w:val="44"/>
      <w:sz w:val="48"/>
      <w:szCs w:val="48"/>
      <w:u w:val="none"/>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FollowedHyperlink"/>
    <w:basedOn w:val="5"/>
    <w:uiPriority w:val="0"/>
    <w:rPr>
      <w:color w:val="555555"/>
      <w:u w:val="none"/>
    </w:rPr>
  </w:style>
  <w:style w:type="character" w:styleId="7">
    <w:name w:val="Hyperlink"/>
    <w:basedOn w:val="5"/>
    <w:uiPriority w:val="0"/>
    <w:rPr>
      <w:color w:val="555555"/>
      <w:u w:val="none"/>
    </w:rPr>
  </w:style>
  <w:style w:type="character" w:customStyle="1" w:styleId="8">
    <w:name w:val="share"/>
    <w:basedOn w:val="5"/>
    <w:uiPriority w:val="0"/>
  </w:style>
  <w:style w:type="character" w:customStyle="1" w:styleId="9">
    <w:name w:val="ico13"/>
    <w:basedOn w:val="5"/>
    <w:uiPriority w:val="0"/>
  </w:style>
  <w:style w:type="character" w:customStyle="1" w:styleId="10">
    <w:name w:val="ico16"/>
    <w:basedOn w:val="5"/>
    <w:uiPriority w:val="0"/>
  </w:style>
  <w:style w:type="character" w:customStyle="1" w:styleId="11">
    <w:name w:val="icon5"/>
    <w:basedOn w:val="5"/>
    <w:uiPriority w:val="0"/>
  </w:style>
  <w:style w:type="character" w:customStyle="1" w:styleId="12">
    <w:name w:val="icon51"/>
    <w:basedOn w:val="5"/>
    <w:uiPriority w:val="0"/>
  </w:style>
  <w:style w:type="character" w:customStyle="1" w:styleId="13">
    <w:name w:val="ico1"/>
    <w:basedOn w:val="5"/>
    <w:uiPriority w:val="0"/>
  </w:style>
  <w:style w:type="character" w:customStyle="1" w:styleId="14">
    <w:name w:val="ico11"/>
    <w:basedOn w:val="5"/>
    <w:uiPriority w:val="0"/>
  </w:style>
  <w:style w:type="character" w:customStyle="1" w:styleId="15">
    <w:name w:val="ico12"/>
    <w:basedOn w:val="5"/>
    <w:uiPriority w:val="0"/>
  </w:style>
  <w:style w:type="character" w:customStyle="1" w:styleId="16">
    <w:name w:val="ico3"/>
    <w:basedOn w:val="5"/>
    <w:uiPriority w:val="0"/>
  </w:style>
  <w:style w:type="character" w:customStyle="1" w:styleId="17">
    <w:name w:val="icon3"/>
    <w:basedOn w:val="5"/>
    <w:uiPriority w:val="0"/>
  </w:style>
  <w:style w:type="character" w:customStyle="1" w:styleId="18">
    <w:name w:val="icon31"/>
    <w:basedOn w:val="5"/>
    <w:uiPriority w:val="0"/>
  </w:style>
  <w:style w:type="character" w:customStyle="1" w:styleId="19">
    <w:name w:val="icon1"/>
    <w:basedOn w:val="5"/>
    <w:uiPriority w:val="0"/>
  </w:style>
  <w:style w:type="character" w:customStyle="1" w:styleId="20">
    <w:name w:val="icon11"/>
    <w:basedOn w:val="5"/>
    <w:uiPriority w:val="0"/>
  </w:style>
  <w:style w:type="character" w:customStyle="1" w:styleId="21">
    <w:name w:val="icon2"/>
    <w:basedOn w:val="5"/>
    <w:uiPriority w:val="0"/>
  </w:style>
  <w:style w:type="character" w:customStyle="1" w:styleId="22">
    <w:name w:val="icon21"/>
    <w:basedOn w:val="5"/>
    <w:uiPriority w:val="0"/>
  </w:style>
  <w:style w:type="character" w:customStyle="1" w:styleId="23">
    <w:name w:val="icon4"/>
    <w:basedOn w:val="5"/>
    <w:uiPriority w:val="0"/>
  </w:style>
  <w:style w:type="character" w:customStyle="1" w:styleId="24">
    <w:name w:val="icon41"/>
    <w:basedOn w:val="5"/>
    <w:uiPriority w:val="0"/>
  </w:style>
  <w:style w:type="character" w:customStyle="1" w:styleId="25">
    <w:name w:val="jxz"/>
    <w:basedOn w:val="5"/>
    <w:uiPriority w:val="0"/>
    <w:rPr>
      <w:color w:val="FFFFFF"/>
      <w:sz w:val="21"/>
      <w:szCs w:val="21"/>
      <w:bdr w:val="none" w:color="auto" w:sz="0" w:space="0"/>
      <w:shd w:val="clear" w:fill="3ACDB8"/>
    </w:rPr>
  </w:style>
  <w:style w:type="character" w:customStyle="1" w:styleId="26">
    <w:name w:val="yjs"/>
    <w:basedOn w:val="5"/>
    <w:uiPriority w:val="0"/>
    <w:rPr>
      <w:color w:val="FFFFFF"/>
      <w:sz w:val="21"/>
      <w:szCs w:val="21"/>
      <w:bdr w:val="none" w:color="auto" w:sz="0" w:space="0"/>
      <w:shd w:val="clear" w:fill="E1E1E1"/>
    </w:rPr>
  </w:style>
  <w:style w:type="character" w:customStyle="1" w:styleId="27">
    <w:name w:val="ico2"/>
    <w:basedOn w:val="5"/>
    <w:uiPriority w:val="0"/>
  </w:style>
  <w:style w:type="character" w:customStyle="1" w:styleId="28">
    <w:name w:val="ico21"/>
    <w:basedOn w:val="5"/>
    <w:uiPriority w:val="0"/>
  </w:style>
  <w:style w:type="character" w:customStyle="1" w:styleId="29">
    <w:name w:val="ico22"/>
    <w:basedOn w:val="5"/>
    <w:uiPriority w:val="0"/>
  </w:style>
  <w:style w:type="character" w:customStyle="1" w:styleId="30">
    <w:name w:val="ico4"/>
    <w:basedOn w:val="5"/>
    <w:uiPriority w:val="0"/>
  </w:style>
  <w:style w:type="character" w:customStyle="1" w:styleId="31">
    <w:name w:val="ico41"/>
    <w:basedOn w:val="5"/>
    <w:uiPriority w:val="0"/>
  </w:style>
  <w:style w:type="character" w:customStyle="1" w:styleId="32">
    <w:name w:val="ico42"/>
    <w:basedOn w:val="5"/>
    <w:uiPriority w:val="0"/>
  </w:style>
  <w:style w:type="character" w:customStyle="1" w:styleId="33">
    <w:name w:val="ico5"/>
    <w:basedOn w:val="5"/>
    <w:uiPriority w:val="0"/>
  </w:style>
  <w:style w:type="character" w:customStyle="1" w:styleId="34">
    <w:name w:val="ico51"/>
    <w:basedOn w:val="5"/>
    <w:uiPriority w:val="0"/>
  </w:style>
  <w:style w:type="character" w:customStyle="1" w:styleId="35">
    <w:name w:val="ico52"/>
    <w:basedOn w:val="5"/>
    <w:uiPriority w:val="0"/>
  </w:style>
  <w:style w:type="character" w:customStyle="1" w:styleId="36">
    <w:name w:val="ico8"/>
    <w:basedOn w:val="5"/>
    <w:uiPriority w:val="0"/>
  </w:style>
  <w:style w:type="character" w:customStyle="1" w:styleId="37">
    <w:name w:val="ico81"/>
    <w:basedOn w:val="5"/>
    <w:uiPriority w:val="0"/>
  </w:style>
  <w:style w:type="character" w:customStyle="1" w:styleId="38">
    <w:name w:val="ico82"/>
    <w:basedOn w:val="5"/>
    <w:uiPriority w:val="0"/>
  </w:style>
  <w:style w:type="character" w:customStyle="1" w:styleId="39">
    <w:name w:val="ico10"/>
    <w:basedOn w:val="5"/>
    <w:uiPriority w:val="0"/>
  </w:style>
  <w:style w:type="character" w:customStyle="1" w:styleId="40">
    <w:name w:val="ico101"/>
    <w:basedOn w:val="5"/>
    <w:uiPriority w:val="0"/>
  </w:style>
  <w:style w:type="character" w:customStyle="1" w:styleId="41">
    <w:name w:val="ico102"/>
    <w:basedOn w:val="5"/>
    <w:uiPriority w:val="0"/>
  </w:style>
  <w:style w:type="character" w:customStyle="1" w:styleId="42">
    <w:name w:val="ico6"/>
    <w:basedOn w:val="5"/>
    <w:uiPriority w:val="0"/>
  </w:style>
  <w:style w:type="character" w:customStyle="1" w:styleId="43">
    <w:name w:val="ico61"/>
    <w:basedOn w:val="5"/>
    <w:uiPriority w:val="0"/>
  </w:style>
  <w:style w:type="character" w:customStyle="1" w:styleId="44">
    <w:name w:val="ico62"/>
    <w:basedOn w:val="5"/>
    <w:uiPriority w:val="0"/>
  </w:style>
  <w:style w:type="character" w:customStyle="1" w:styleId="45">
    <w:name w:val="ico7"/>
    <w:basedOn w:val="5"/>
    <w:uiPriority w:val="0"/>
  </w:style>
  <w:style w:type="character" w:customStyle="1" w:styleId="46">
    <w:name w:val="ico71"/>
    <w:basedOn w:val="5"/>
    <w:uiPriority w:val="0"/>
  </w:style>
  <w:style w:type="character" w:customStyle="1" w:styleId="47">
    <w:name w:val="ico72"/>
    <w:basedOn w:val="5"/>
    <w:uiPriority w:val="0"/>
  </w:style>
  <w:style w:type="character" w:customStyle="1" w:styleId="48">
    <w:name w:val="ico9"/>
    <w:basedOn w:val="5"/>
    <w:uiPriority w:val="0"/>
  </w:style>
  <w:style w:type="character" w:customStyle="1" w:styleId="49">
    <w:name w:val="ico91"/>
    <w:basedOn w:val="5"/>
    <w:uiPriority w:val="0"/>
  </w:style>
  <w:style w:type="character" w:customStyle="1" w:styleId="50">
    <w:name w:val="ico92"/>
    <w:basedOn w:val="5"/>
    <w:uiPriority w:val="0"/>
  </w:style>
  <w:style w:type="character" w:customStyle="1" w:styleId="51">
    <w:name w:val="ico111"/>
    <w:basedOn w:val="5"/>
    <w:uiPriority w:val="0"/>
  </w:style>
  <w:style w:type="character" w:customStyle="1" w:styleId="52">
    <w:name w:val="ico112"/>
    <w:basedOn w:val="5"/>
    <w:uiPriority w:val="0"/>
  </w:style>
  <w:style w:type="character" w:customStyle="1" w:styleId="53">
    <w:name w:val="ico113"/>
    <w:basedOn w:val="5"/>
    <w:uiPriority w:val="0"/>
  </w:style>
  <w:style w:type="character" w:customStyle="1" w:styleId="54">
    <w:name w:val="ico121"/>
    <w:basedOn w:val="5"/>
    <w:uiPriority w:val="0"/>
  </w:style>
  <w:style w:type="character" w:customStyle="1" w:styleId="55">
    <w:name w:val="ico122"/>
    <w:basedOn w:val="5"/>
    <w:uiPriority w:val="0"/>
  </w:style>
  <w:style w:type="character" w:customStyle="1" w:styleId="56">
    <w:name w:val="ico123"/>
    <w:basedOn w:val="5"/>
    <w:uiPriority w:val="0"/>
  </w:style>
  <w:style w:type="character" w:customStyle="1" w:styleId="57">
    <w:name w:val="ico14"/>
    <w:basedOn w:val="5"/>
    <w:uiPriority w:val="0"/>
  </w:style>
  <w:style w:type="character" w:customStyle="1" w:styleId="58">
    <w:name w:val="ico141"/>
    <w:basedOn w:val="5"/>
    <w:uiPriority w:val="0"/>
  </w:style>
  <w:style w:type="character" w:customStyle="1" w:styleId="59">
    <w:name w:val="ico142"/>
    <w:basedOn w:val="5"/>
    <w:uiPriority w:val="0"/>
  </w:style>
  <w:style w:type="character" w:customStyle="1" w:styleId="60">
    <w:name w:val="pf_icon2"/>
    <w:basedOn w:val="5"/>
    <w:uiPriority w:val="0"/>
  </w:style>
  <w:style w:type="character" w:customStyle="1" w:styleId="61">
    <w:name w:val="pf_icon21"/>
    <w:basedOn w:val="5"/>
    <w:uiPriority w:val="0"/>
  </w:style>
  <w:style w:type="character" w:customStyle="1" w:styleId="62">
    <w:name w:val="ico15"/>
    <w:basedOn w:val="5"/>
    <w:uiPriority w:val="0"/>
  </w:style>
  <w:style w:type="character" w:customStyle="1" w:styleId="63">
    <w:name w:val="ico151"/>
    <w:basedOn w:val="5"/>
    <w:uiPriority w:val="0"/>
  </w:style>
  <w:style w:type="character" w:customStyle="1" w:styleId="64">
    <w:name w:val="ico152"/>
    <w:basedOn w:val="5"/>
    <w:uiPriority w:val="0"/>
  </w:style>
  <w:style w:type="character" w:customStyle="1" w:styleId="65">
    <w:name w:val="pf_icon1"/>
    <w:basedOn w:val="5"/>
    <w:uiPriority w:val="0"/>
  </w:style>
  <w:style w:type="character" w:customStyle="1" w:styleId="66">
    <w:name w:val="pf_icon11"/>
    <w:basedOn w:val="5"/>
    <w:uiPriority w:val="0"/>
  </w:style>
  <w:style w:type="character" w:customStyle="1" w:styleId="67">
    <w:name w:val="nth-child(2)"/>
    <w:basedOn w:val="5"/>
    <w:uiPriority w:val="0"/>
    <w:rPr>
      <w:rFonts w:ascii="宋体" w:hAnsi="宋体" w:eastAsia="宋体" w:cs="宋体"/>
      <w:b/>
    </w:rPr>
  </w:style>
  <w:style w:type="character" w:customStyle="1" w:styleId="68">
    <w:name w:val="first-child"/>
    <w:basedOn w:val="5"/>
    <w:uiPriority w:val="0"/>
    <w:rPr>
      <w:rFonts w:hint="eastAsia" w:ascii="宋体" w:hAnsi="宋体" w:eastAsia="宋体" w:cs="宋体"/>
      <w:b/>
    </w:rPr>
  </w:style>
  <w:style w:type="character" w:customStyle="1" w:styleId="69">
    <w:name w:val="on"/>
    <w:basedOn w:val="5"/>
    <w:uiPriority w:val="0"/>
    <w:rPr>
      <w:color w:val="FFFFFF"/>
      <w:bdr w:val="single" w:color="0E86E0" w:sz="6" w:space="0"/>
      <w:shd w:val="clear" w:fill="0E86E0"/>
    </w:rPr>
  </w:style>
  <w:style w:type="character" w:customStyle="1" w:styleId="70">
    <w:name w:val="clz"/>
    <w:basedOn w:val="5"/>
    <w:uiPriority w:val="0"/>
    <w:rPr>
      <w:shd w:val="clear" w:fill="3ACDB8"/>
    </w:rPr>
  </w:style>
  <w:style w:type="character" w:customStyle="1" w:styleId="71">
    <w:name w:val="zjz"/>
    <w:basedOn w:val="5"/>
    <w:uiPriority w:val="0"/>
    <w:rPr>
      <w:color w:val="FFFFFF"/>
      <w:shd w:val="clear" w:fill="3ACDB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2020-09-14T05:16:00Z</dcterms:created>
  <dc:creator>chenxi</dc:creator>
  <cp:lastModifiedBy>chenxi</cp:lastModifiedBy>
  <dcterms:modified xsi:type="dcterms:W3CDTF">2020-09-14T05:17:33Z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