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14" w:after="314"/>
        <w:jc w:val="center"/>
        <w:rPr>
          <w:rFonts w:hint="eastAsia" w:eastAsia="黑体"/>
          <w:lang w:val="en-US" w:eastAsia="zh-CN"/>
        </w:rPr>
      </w:pPr>
      <w:r>
        <w:rPr>
          <w:rFonts w:hint="eastAsia"/>
          <w:lang w:val="en-US" w:eastAsia="zh-CN"/>
        </w:rPr>
        <w:t>公共</w:t>
      </w:r>
      <w:bookmarkStart w:id="3" w:name="_GoBack"/>
      <w:bookmarkEnd w:id="3"/>
      <w:r>
        <w:rPr>
          <w:rFonts w:hint="eastAsia"/>
          <w:lang w:val="en-US" w:eastAsia="zh-CN"/>
        </w:rPr>
        <w:t>基础知识</w:t>
      </w:r>
    </w:p>
    <w:p>
      <w:pPr>
        <w:pStyle w:val="3"/>
        <w:spacing w:before="314" w:after="314"/>
      </w:pPr>
      <w:r>
        <w:t>考点一：习近平吉林视察</w:t>
      </w:r>
    </w:p>
    <w:p>
      <w:pPr>
        <w:ind w:firstLine="429"/>
        <w:rPr>
          <w:rFonts w:cs="Times New Roman"/>
        </w:rPr>
      </w:pPr>
      <w:bookmarkStart w:id="0" w:name="_Hlk49972140"/>
      <w:r>
        <w:rPr>
          <w:rFonts w:cs="Times New Roman"/>
        </w:rPr>
        <w:t>1</w:t>
      </w:r>
      <w:r>
        <w:rPr>
          <w:rFonts w:hint="eastAsia" w:ascii="宋体" w:hAnsi="宋体" w:cs="Times New Roman"/>
        </w:rPr>
        <w:t>.</w:t>
      </w:r>
      <w:r>
        <w:rPr>
          <w:rFonts w:cs="Times New Roman"/>
          <w:b/>
          <w:bCs/>
        </w:rPr>
        <w:t>2020年7月22日</w:t>
      </w:r>
      <w:r>
        <w:rPr>
          <w:rFonts w:cs="Times New Roman"/>
        </w:rPr>
        <w:t>，中共中央总书记、国家主席、中央军委主席习近平在吉林考察时强调，要切实落实党中央决策部署，坚持稳中求进工作总基调，坚持新发展理念，坚决打好三大攻坚战，扎实做好</w:t>
      </w:r>
      <w:r>
        <w:rPr>
          <w:rFonts w:hint="eastAsia" w:ascii="宋体" w:hAnsi="宋体" w:cs="Times New Roman"/>
        </w:rPr>
        <w:t>“</w:t>
      </w:r>
      <w:r>
        <w:rPr>
          <w:rFonts w:cs="Times New Roman"/>
        </w:rPr>
        <w:t>六稳</w:t>
      </w:r>
      <w:r>
        <w:rPr>
          <w:rFonts w:hint="eastAsia" w:ascii="宋体" w:hAnsi="宋体" w:cs="Times New Roman"/>
        </w:rPr>
        <w:t>”</w:t>
      </w:r>
      <w:r>
        <w:rPr>
          <w:rFonts w:cs="Times New Roman"/>
        </w:rPr>
        <w:t>工作，全面落实</w:t>
      </w:r>
      <w:r>
        <w:rPr>
          <w:rFonts w:hint="eastAsia" w:ascii="宋体" w:hAnsi="宋体" w:cs="Times New Roman"/>
        </w:rPr>
        <w:t>“</w:t>
      </w:r>
      <w:r>
        <w:rPr>
          <w:rFonts w:cs="Times New Roman"/>
        </w:rPr>
        <w:t>六保</w:t>
      </w:r>
      <w:r>
        <w:rPr>
          <w:rFonts w:hint="eastAsia" w:ascii="宋体" w:hAnsi="宋体" w:cs="Times New Roman"/>
        </w:rPr>
        <w:t>”</w:t>
      </w:r>
      <w:r>
        <w:rPr>
          <w:rFonts w:cs="Times New Roman"/>
        </w:rPr>
        <w:t>任务，深入实施东北振兴战略，决胜全面建成小康社会、决战脱贫攻坚，</w:t>
      </w:r>
      <w:r>
        <w:rPr>
          <w:rFonts w:cs="Times New Roman"/>
          <w:b/>
          <w:bCs/>
        </w:rPr>
        <w:t>在服务党和国家工作全局中体现新担当，在走出一条质量更高、效益更好、结构更优、优势充分释放的发展新路上实现新突破，在加快推动新时代吉林全面振兴、全方位振兴的征程上展现新作为</w:t>
      </w:r>
      <w:r>
        <w:rPr>
          <w:rFonts w:cs="Times New Roman"/>
        </w:rPr>
        <w:t>。</w:t>
      </w:r>
    </w:p>
    <w:p>
      <w:pPr>
        <w:ind w:firstLine="429"/>
        <w:rPr>
          <w:rFonts w:cs="Times New Roman"/>
        </w:rPr>
      </w:pPr>
      <w:r>
        <w:rPr>
          <w:rFonts w:cs="Times New Roman"/>
        </w:rPr>
        <w:t>2</w:t>
      </w:r>
      <w:r>
        <w:rPr>
          <w:rFonts w:hint="eastAsia" w:ascii="宋体" w:hAnsi="宋体" w:cs="Times New Roman"/>
        </w:rPr>
        <w:t>.</w:t>
      </w:r>
      <w:r>
        <w:rPr>
          <w:rFonts w:cs="Times New Roman"/>
        </w:rPr>
        <w:t>习近平指出，</w:t>
      </w:r>
      <w:r>
        <w:rPr>
          <w:rFonts w:cs="Times New Roman"/>
          <w:b/>
          <w:bCs/>
        </w:rPr>
        <w:t>明年我国将开始实施</w:t>
      </w:r>
      <w:r>
        <w:rPr>
          <w:rFonts w:hint="eastAsia" w:ascii="宋体" w:hAnsi="宋体" w:cs="Times New Roman"/>
          <w:b/>
          <w:bCs/>
        </w:rPr>
        <w:t>“</w:t>
      </w:r>
      <w:r>
        <w:rPr>
          <w:rFonts w:cs="Times New Roman"/>
          <w:b/>
          <w:bCs/>
        </w:rPr>
        <w:t>十四五</w:t>
      </w:r>
      <w:r>
        <w:rPr>
          <w:rFonts w:hint="eastAsia" w:ascii="宋体" w:hAnsi="宋体" w:cs="Times New Roman"/>
          <w:b/>
          <w:bCs/>
        </w:rPr>
        <w:t>”</w:t>
      </w:r>
      <w:r>
        <w:rPr>
          <w:rFonts w:cs="Times New Roman"/>
          <w:b/>
          <w:bCs/>
        </w:rPr>
        <w:t>规划。</w:t>
      </w:r>
      <w:r>
        <w:rPr>
          <w:rFonts w:hint="eastAsia" w:ascii="宋体" w:hAnsi="宋体" w:cs="Times New Roman"/>
          <w:b/>
          <w:bCs/>
        </w:rPr>
        <w:t>“</w:t>
      </w:r>
      <w:r>
        <w:rPr>
          <w:rFonts w:cs="Times New Roman"/>
          <w:b/>
          <w:bCs/>
        </w:rPr>
        <w:t>十四五</w:t>
      </w:r>
      <w:r>
        <w:rPr>
          <w:rFonts w:hint="eastAsia" w:ascii="宋体" w:hAnsi="宋体" w:cs="Times New Roman"/>
          <w:b/>
          <w:bCs/>
        </w:rPr>
        <w:t>”</w:t>
      </w:r>
      <w:r>
        <w:rPr>
          <w:rFonts w:cs="Times New Roman"/>
          <w:b/>
          <w:bCs/>
        </w:rPr>
        <w:t>时期是我国开启全面建设社会主义现代化国家新征程的第一个五年，谋划好</w:t>
      </w:r>
      <w:r>
        <w:rPr>
          <w:rFonts w:hint="eastAsia" w:ascii="宋体" w:hAnsi="宋体" w:cs="Times New Roman"/>
          <w:b/>
          <w:bCs/>
        </w:rPr>
        <w:t>“</w:t>
      </w:r>
      <w:r>
        <w:rPr>
          <w:rFonts w:cs="Times New Roman"/>
          <w:b/>
          <w:bCs/>
        </w:rPr>
        <w:t>十四五</w:t>
      </w:r>
      <w:r>
        <w:rPr>
          <w:rFonts w:hint="eastAsia" w:ascii="宋体" w:hAnsi="宋体" w:cs="Times New Roman"/>
          <w:b/>
          <w:bCs/>
        </w:rPr>
        <w:t>”</w:t>
      </w:r>
      <w:r>
        <w:rPr>
          <w:rFonts w:cs="Times New Roman"/>
          <w:b/>
          <w:bCs/>
        </w:rPr>
        <w:t>时期发展十分重要。</w:t>
      </w:r>
    </w:p>
    <w:p>
      <w:pPr>
        <w:ind w:firstLine="429"/>
        <w:rPr>
          <w:rFonts w:cs="Times New Roman"/>
        </w:rPr>
      </w:pPr>
      <w:r>
        <w:rPr>
          <w:rFonts w:cs="Times New Roman"/>
        </w:rPr>
        <w:t>3</w:t>
      </w:r>
      <w:r>
        <w:rPr>
          <w:rFonts w:hint="eastAsia" w:ascii="宋体" w:hAnsi="宋体" w:cs="Times New Roman"/>
        </w:rPr>
        <w:t>.</w:t>
      </w:r>
      <w:r>
        <w:rPr>
          <w:rFonts w:cs="Times New Roman"/>
          <w:b/>
          <w:bCs/>
        </w:rPr>
        <w:t>吉林松辽平原素有</w:t>
      </w:r>
      <w:r>
        <w:rPr>
          <w:rFonts w:hint="eastAsia" w:ascii="宋体" w:hAnsi="宋体" w:cs="Times New Roman"/>
          <w:b/>
          <w:bCs/>
        </w:rPr>
        <w:t>“</w:t>
      </w:r>
      <w:r>
        <w:rPr>
          <w:rFonts w:cs="Times New Roman"/>
          <w:b/>
          <w:bCs/>
        </w:rPr>
        <w:t>黄金玉米带</w:t>
      </w:r>
      <w:r>
        <w:rPr>
          <w:rFonts w:hint="eastAsia" w:ascii="宋体" w:hAnsi="宋体" w:cs="Times New Roman"/>
          <w:b/>
          <w:bCs/>
        </w:rPr>
        <w:t>”</w:t>
      </w:r>
      <w:r>
        <w:rPr>
          <w:rFonts w:cs="Times New Roman"/>
          <w:b/>
          <w:bCs/>
        </w:rPr>
        <w:t>和</w:t>
      </w:r>
      <w:r>
        <w:rPr>
          <w:rFonts w:hint="eastAsia" w:ascii="宋体" w:hAnsi="宋体" w:cs="Times New Roman"/>
          <w:b/>
          <w:bCs/>
        </w:rPr>
        <w:t>“</w:t>
      </w:r>
      <w:r>
        <w:rPr>
          <w:rFonts w:cs="Times New Roman"/>
          <w:b/>
          <w:bCs/>
        </w:rPr>
        <w:t>大豆之乡</w:t>
      </w:r>
      <w:r>
        <w:rPr>
          <w:rFonts w:hint="eastAsia" w:ascii="宋体" w:hAnsi="宋体" w:cs="Times New Roman"/>
          <w:b/>
          <w:bCs/>
        </w:rPr>
        <w:t>”</w:t>
      </w:r>
      <w:r>
        <w:rPr>
          <w:rFonts w:cs="Times New Roman"/>
          <w:b/>
          <w:bCs/>
        </w:rPr>
        <w:t>的美誉，是国家粮食主产区之一。</w:t>
      </w:r>
    </w:p>
    <w:p>
      <w:pPr>
        <w:ind w:firstLine="429"/>
        <w:rPr>
          <w:rFonts w:cs="Times New Roman"/>
        </w:rPr>
      </w:pPr>
      <w:r>
        <w:rPr>
          <w:rFonts w:cs="Times New Roman"/>
        </w:rPr>
        <w:t>4</w:t>
      </w:r>
      <w:r>
        <w:rPr>
          <w:rFonts w:hint="eastAsia" w:ascii="宋体" w:hAnsi="宋体" w:cs="Times New Roman"/>
        </w:rPr>
        <w:t>.</w:t>
      </w:r>
      <w:r>
        <w:rPr>
          <w:rFonts w:cs="Times New Roman"/>
        </w:rPr>
        <w:t>他强调，</w:t>
      </w:r>
      <w:r>
        <w:rPr>
          <w:rFonts w:cs="Times New Roman"/>
          <w:b/>
          <w:bCs/>
        </w:rPr>
        <w:t>农民专业合作社是市场经济条件下发展适度规模经营、发展现代农业的有效组织形式</w:t>
      </w:r>
      <w:r>
        <w:rPr>
          <w:rFonts w:cs="Times New Roman"/>
        </w:rPr>
        <w:t>，有利于提高农业科技水平、提高农民科技文化素质、提高农业综合经营效益。</w:t>
      </w:r>
    </w:p>
    <w:p>
      <w:pPr>
        <w:ind w:firstLine="429"/>
        <w:rPr>
          <w:rFonts w:cs="Times New Roman"/>
        </w:rPr>
      </w:pPr>
      <w:r>
        <w:rPr>
          <w:rFonts w:cs="Times New Roman"/>
        </w:rPr>
        <w:t>5</w:t>
      </w:r>
      <w:r>
        <w:rPr>
          <w:rFonts w:hint="eastAsia" w:ascii="宋体" w:hAnsi="宋体" w:cs="Times New Roman"/>
        </w:rPr>
        <w:t>.</w:t>
      </w:r>
      <w:r>
        <w:rPr>
          <w:rFonts w:cs="Times New Roman"/>
        </w:rPr>
        <w:t>他强调，</w:t>
      </w:r>
      <w:r>
        <w:rPr>
          <w:rFonts w:cs="Times New Roman"/>
          <w:b/>
          <w:bCs/>
        </w:rPr>
        <w:t>推进国家治理体系和治理能力现代化，社区治理只能加强、不能削弱。要加强党的领导，推动党组织向最基层延伸</w:t>
      </w:r>
      <w:r>
        <w:rPr>
          <w:rFonts w:cs="Times New Roman"/>
        </w:rPr>
        <w:t>，健全基层党组织工作体系，为城乡社区治理提供坚强保证。要总结推广实践中形成的好经验好做法，不断提高教育培训的先进性和系统性。</w:t>
      </w:r>
    </w:p>
    <w:p>
      <w:pPr>
        <w:ind w:firstLine="429"/>
        <w:rPr>
          <w:rFonts w:cs="Times New Roman"/>
        </w:rPr>
      </w:pPr>
      <w:r>
        <w:rPr>
          <w:rFonts w:cs="Times New Roman"/>
        </w:rPr>
        <w:t>6</w:t>
      </w:r>
      <w:r>
        <w:rPr>
          <w:rFonts w:hint="eastAsia" w:ascii="宋体" w:hAnsi="宋体" w:cs="Times New Roman"/>
        </w:rPr>
        <w:t>.</w:t>
      </w:r>
      <w:r>
        <w:rPr>
          <w:rFonts w:cs="Times New Roman"/>
        </w:rPr>
        <w:t>习近平强调，高新科技园区要围绕国家战略需要</w:t>
      </w:r>
      <w:r>
        <w:rPr>
          <w:rFonts w:cs="Times New Roman"/>
          <w:b/>
          <w:bCs/>
        </w:rPr>
        <w:t>，坚持高水平规划、高标准建设，走集约化、内涵式发展道路</w:t>
      </w:r>
      <w:r>
        <w:rPr>
          <w:rFonts w:cs="Times New Roman"/>
        </w:rPr>
        <w:t>，要重视基础设施规划建设，更要打通产业链、供应链，在区域经济发展中发挥带动和辐射作用。</w:t>
      </w:r>
    </w:p>
    <w:p>
      <w:pPr>
        <w:ind w:firstLine="429"/>
        <w:rPr>
          <w:rFonts w:cs="Times New Roman"/>
        </w:rPr>
      </w:pPr>
      <w:r>
        <w:rPr>
          <w:rFonts w:cs="Times New Roman"/>
        </w:rPr>
        <w:t>7</w:t>
      </w:r>
      <w:r>
        <w:rPr>
          <w:rFonts w:hint="eastAsia" w:ascii="宋体" w:hAnsi="宋体" w:cs="Times New Roman"/>
        </w:rPr>
        <w:t>.</w:t>
      </w:r>
      <w:r>
        <w:rPr>
          <w:rFonts w:cs="Times New Roman"/>
        </w:rPr>
        <w:t>一汽集团是新中国汽车工业的摇篮，60多年来铸就了</w:t>
      </w:r>
      <w:r>
        <w:rPr>
          <w:rFonts w:hint="eastAsia" w:ascii="宋体" w:hAnsi="宋体" w:cs="Times New Roman"/>
        </w:rPr>
        <w:t>“</w:t>
      </w:r>
      <w:r>
        <w:rPr>
          <w:rFonts w:cs="Times New Roman"/>
        </w:rPr>
        <w:t>红旗</w:t>
      </w:r>
      <w:r>
        <w:rPr>
          <w:rFonts w:hint="eastAsia" w:ascii="宋体" w:hAnsi="宋体" w:cs="Times New Roman"/>
        </w:rPr>
        <w:t>”</w:t>
      </w:r>
      <w:r>
        <w:rPr>
          <w:rFonts w:cs="Times New Roman"/>
        </w:rPr>
        <w:t>、</w:t>
      </w:r>
      <w:r>
        <w:rPr>
          <w:rFonts w:hint="eastAsia" w:ascii="宋体" w:hAnsi="宋体" w:cs="Times New Roman"/>
        </w:rPr>
        <w:t>“</w:t>
      </w:r>
      <w:r>
        <w:rPr>
          <w:rFonts w:cs="Times New Roman"/>
        </w:rPr>
        <w:t>解放</w:t>
      </w:r>
      <w:r>
        <w:rPr>
          <w:rFonts w:hint="eastAsia" w:ascii="宋体" w:hAnsi="宋体" w:cs="Times New Roman"/>
        </w:rPr>
        <w:t>”</w:t>
      </w:r>
      <w:r>
        <w:rPr>
          <w:rFonts w:cs="Times New Roman"/>
        </w:rPr>
        <w:t>等知名自主品牌，形成了系列合资合作品牌。他强调，</w:t>
      </w:r>
      <w:r>
        <w:rPr>
          <w:rFonts w:cs="Times New Roman"/>
          <w:b/>
          <w:bCs/>
        </w:rPr>
        <w:t>推动我国汽车制造业高质量发展，必须加强关键核心技术和关键零部件的自主研发，实现技术自立自强，做强做大民族品牌</w:t>
      </w:r>
      <w:r>
        <w:rPr>
          <w:rFonts w:cs="Times New Roman"/>
        </w:rPr>
        <w:t>。</w:t>
      </w:r>
    </w:p>
    <w:p>
      <w:pPr>
        <w:ind w:firstLine="429"/>
        <w:rPr>
          <w:rFonts w:cs="Times New Roman"/>
        </w:rPr>
      </w:pPr>
      <w:r>
        <w:rPr>
          <w:rFonts w:cs="Times New Roman"/>
        </w:rPr>
        <w:t>8</w:t>
      </w:r>
      <w:r>
        <w:rPr>
          <w:rFonts w:hint="eastAsia" w:ascii="宋体" w:hAnsi="宋体" w:cs="Times New Roman"/>
        </w:rPr>
        <w:t>.</w:t>
      </w:r>
      <w:r>
        <w:rPr>
          <w:rFonts w:cs="Times New Roman"/>
        </w:rPr>
        <w:t>习近平强调，推动经济高质量发展，</w:t>
      </w:r>
      <w:r>
        <w:rPr>
          <w:rFonts w:cs="Times New Roman"/>
          <w:b/>
          <w:bCs/>
        </w:rPr>
        <w:t>要着力推动经济发展质量变革、效率变革、动力变革，增强经济竞争力、创新力、抗风险能力</w:t>
      </w:r>
      <w:r>
        <w:rPr>
          <w:rFonts w:cs="Times New Roman"/>
        </w:rPr>
        <w:t>。</w:t>
      </w:r>
    </w:p>
    <w:p>
      <w:pPr>
        <w:ind w:firstLine="429"/>
        <w:rPr>
          <w:rFonts w:cs="Times New Roman"/>
        </w:rPr>
      </w:pPr>
      <w:r>
        <w:rPr>
          <w:rFonts w:cs="Times New Roman"/>
        </w:rPr>
        <w:t>9</w:t>
      </w:r>
      <w:r>
        <w:rPr>
          <w:rFonts w:hint="eastAsia" w:ascii="宋体" w:hAnsi="宋体" w:cs="Times New Roman"/>
        </w:rPr>
        <w:t>.</w:t>
      </w:r>
      <w:r>
        <w:rPr>
          <w:rFonts w:cs="Times New Roman"/>
        </w:rPr>
        <w:t>习近平指出，要抓住实施乡村振兴战略的重大机遇，坚持农业农村优先发展，夯实农业基础地位，深化农村改革。</w:t>
      </w:r>
      <w:r>
        <w:rPr>
          <w:rFonts w:cs="Times New Roman"/>
          <w:b/>
          <w:bCs/>
        </w:rPr>
        <w:t>要加快高标准农田建设，强化农业科技和装备支撑，深化农业供给侧结构性改革，加快发展绿色农业，推进农村三产融合</w:t>
      </w:r>
      <w:r>
        <w:rPr>
          <w:rFonts w:cs="Times New Roman"/>
        </w:rPr>
        <w:t>。</w:t>
      </w:r>
    </w:p>
    <w:bookmarkEnd w:id="0"/>
    <w:p>
      <w:pPr>
        <w:pStyle w:val="3"/>
        <w:spacing w:before="314" w:after="314"/>
      </w:pPr>
      <w:bookmarkStart w:id="1" w:name="_Toc18695"/>
      <w:r>
        <w:t>考点</w:t>
      </w:r>
      <w:r>
        <w:rPr>
          <w:rFonts w:hint="eastAsia"/>
        </w:rPr>
        <w:t>二</w:t>
      </w:r>
      <w:r>
        <w:t>：习近平金句和近期会议重点</w:t>
      </w:r>
      <w:bookmarkEnd w:id="1"/>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1</w:t>
      </w:r>
      <w:r>
        <w:rPr>
          <w:rFonts w:hint="eastAsia" w:ascii="宋体" w:hAnsi="宋体" w:cs="Times New Roman"/>
          <w:bCs/>
          <w:color w:val="000000"/>
          <w:sz w:val="21"/>
          <w:szCs w:val="21"/>
        </w:rPr>
        <w:t>.</w:t>
      </w:r>
      <w:r>
        <w:rPr>
          <w:rFonts w:cs="Times New Roman"/>
          <w:bCs/>
          <w:color w:val="000000"/>
          <w:sz w:val="21"/>
          <w:szCs w:val="21"/>
        </w:rPr>
        <w:t>这次疫情发生以来，党中央高度重视，始终把</w:t>
      </w:r>
      <w:r>
        <w:rPr>
          <w:rFonts w:cs="Times New Roman"/>
          <w:b/>
          <w:color w:val="000000"/>
          <w:sz w:val="21"/>
          <w:szCs w:val="21"/>
        </w:rPr>
        <w:t>人民群众生命安全</w:t>
      </w:r>
      <w:r>
        <w:rPr>
          <w:rFonts w:cs="Times New Roman"/>
          <w:bCs/>
          <w:color w:val="000000"/>
          <w:sz w:val="21"/>
          <w:szCs w:val="21"/>
        </w:rPr>
        <w:t>和</w:t>
      </w:r>
      <w:r>
        <w:rPr>
          <w:rFonts w:cs="Times New Roman"/>
          <w:b/>
          <w:color w:val="000000"/>
          <w:sz w:val="21"/>
          <w:szCs w:val="21"/>
        </w:rPr>
        <w:t>身体健康</w:t>
      </w:r>
      <w:r>
        <w:rPr>
          <w:rFonts w:cs="Times New Roman"/>
          <w:bCs/>
          <w:color w:val="000000"/>
          <w:sz w:val="21"/>
          <w:szCs w:val="21"/>
        </w:rPr>
        <w:t>放在第一位。</w:t>
      </w:r>
    </w:p>
    <w:p>
      <w:pPr>
        <w:pStyle w:val="7"/>
        <w:spacing w:before="0" w:beforeAutospacing="0" w:after="0" w:afterAutospacing="0"/>
        <w:ind w:firstLine="429"/>
        <w:jc w:val="both"/>
        <w:rPr>
          <w:rFonts w:cs="Times New Roman"/>
          <w:bCs/>
          <w:color w:val="000000"/>
          <w:sz w:val="21"/>
          <w:szCs w:val="21"/>
        </w:rPr>
      </w:pPr>
      <w:r>
        <w:rPr>
          <w:rFonts w:hint="eastAsia" w:ascii="方正舒体" w:hAnsi="方正舒体" w:eastAsia="方正舒体" w:cs="Times New Roman"/>
          <w:bCs/>
          <w:color w:val="000000"/>
          <w:sz w:val="21"/>
          <w:szCs w:val="21"/>
        </w:rPr>
        <w:t>（</w:t>
      </w:r>
      <w:r>
        <w:rPr>
          <w:rFonts w:cs="Times New Roman"/>
          <w:b/>
          <w:bCs/>
          <w:color w:val="000000"/>
          <w:sz w:val="21"/>
          <w:szCs w:val="21"/>
        </w:rPr>
        <w:t>确保人民群众生命安全和身体健康，是我们党治国理政的一项重大任务</w:t>
      </w:r>
      <w:r>
        <w:rPr>
          <w:rFonts w:cs="Times New Roman"/>
          <w:color w:val="000000"/>
          <w:sz w:val="21"/>
          <w:szCs w:val="21"/>
        </w:rPr>
        <w:t>。</w:t>
      </w:r>
      <w:r>
        <w:rPr>
          <w:rFonts w:hint="eastAsia" w:ascii="方正舒体" w:hAnsi="方正舒体" w:eastAsia="方正舒体" w:cs="Times New Roman"/>
          <w:bCs/>
          <w:color w:val="000000"/>
          <w:sz w:val="21"/>
          <w:szCs w:val="21"/>
        </w:rPr>
        <w:t>）</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2</w:t>
      </w:r>
      <w:r>
        <w:rPr>
          <w:rFonts w:hint="eastAsia" w:ascii="宋体" w:hAnsi="宋体" w:cs="Times New Roman"/>
          <w:bCs/>
          <w:color w:val="000000"/>
          <w:sz w:val="21"/>
          <w:szCs w:val="21"/>
        </w:rPr>
        <w:t>.</w:t>
      </w:r>
      <w:r>
        <w:rPr>
          <w:rFonts w:cs="Times New Roman"/>
          <w:bCs/>
          <w:color w:val="000000"/>
          <w:sz w:val="21"/>
          <w:szCs w:val="21"/>
        </w:rPr>
        <w:t>要全力以赴救治患者，保障医疗防护物资供应，努力</w:t>
      </w:r>
      <w:r>
        <w:rPr>
          <w:rFonts w:cs="Times New Roman"/>
          <w:b/>
          <w:color w:val="000000"/>
          <w:sz w:val="21"/>
          <w:szCs w:val="21"/>
        </w:rPr>
        <w:t>提高收治率和治愈率、降低感染率和病死率</w:t>
      </w:r>
      <w:r>
        <w:rPr>
          <w:rFonts w:cs="Times New Roman"/>
          <w:bCs/>
          <w:color w:val="000000"/>
          <w:sz w:val="21"/>
          <w:szCs w:val="21"/>
        </w:rPr>
        <w:t>。这是当前防控工作的突出任务。</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3</w:t>
      </w:r>
      <w:r>
        <w:rPr>
          <w:rFonts w:hint="eastAsia" w:ascii="宋体" w:hAnsi="宋体" w:cs="Times New Roman"/>
          <w:bCs/>
          <w:color w:val="000000"/>
          <w:sz w:val="21"/>
          <w:szCs w:val="21"/>
        </w:rPr>
        <w:t>.</w:t>
      </w:r>
      <w:r>
        <w:rPr>
          <w:rFonts w:cs="Times New Roman"/>
          <w:bCs/>
          <w:color w:val="000000"/>
          <w:sz w:val="21"/>
          <w:szCs w:val="21"/>
        </w:rPr>
        <w:t>要抓好改革任务落地见效，真正</w:t>
      </w:r>
      <w:r>
        <w:rPr>
          <w:rFonts w:hint="eastAsia" w:ascii="宋体" w:hAnsi="宋体" w:cs="Times New Roman"/>
          <w:bCs/>
          <w:color w:val="000000"/>
          <w:sz w:val="21"/>
          <w:szCs w:val="21"/>
        </w:rPr>
        <w:t>“</w:t>
      </w:r>
      <w:r>
        <w:rPr>
          <w:rFonts w:cs="Times New Roman"/>
          <w:b/>
          <w:color w:val="000000"/>
          <w:sz w:val="21"/>
          <w:szCs w:val="21"/>
        </w:rPr>
        <w:t>让审理者裁判、由裁判者负责</w:t>
      </w:r>
      <w:r>
        <w:rPr>
          <w:rFonts w:hint="eastAsia" w:ascii="宋体" w:hAnsi="宋体" w:cs="Times New Roman"/>
          <w:bCs/>
          <w:color w:val="000000"/>
          <w:sz w:val="21"/>
          <w:szCs w:val="21"/>
        </w:rPr>
        <w:t>”</w:t>
      </w:r>
      <w:r>
        <w:rPr>
          <w:rFonts w:cs="Times New Roman"/>
          <w:bCs/>
          <w:color w:val="000000"/>
          <w:sz w:val="21"/>
          <w:szCs w:val="21"/>
        </w:rPr>
        <w:t>，提高</w:t>
      </w:r>
      <w:r>
        <w:rPr>
          <w:rFonts w:cs="Times New Roman"/>
          <w:b/>
          <w:color w:val="000000"/>
          <w:sz w:val="21"/>
          <w:szCs w:val="21"/>
        </w:rPr>
        <w:t>司法</w:t>
      </w:r>
      <w:r>
        <w:rPr>
          <w:rFonts w:cs="Times New Roman"/>
          <w:bCs/>
          <w:color w:val="000000"/>
          <w:sz w:val="21"/>
          <w:szCs w:val="21"/>
        </w:rPr>
        <w:t>公信力，努力让人民群众在每一个司法案件中感受到公平正义。</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4</w:t>
      </w:r>
      <w:r>
        <w:rPr>
          <w:rFonts w:hint="eastAsia" w:ascii="宋体" w:hAnsi="宋体" w:cs="Times New Roman"/>
          <w:bCs/>
          <w:color w:val="000000"/>
          <w:sz w:val="21"/>
          <w:szCs w:val="21"/>
        </w:rPr>
        <w:t>.</w:t>
      </w:r>
      <w:r>
        <w:rPr>
          <w:rFonts w:cs="Times New Roman"/>
          <w:b/>
          <w:color w:val="000000"/>
          <w:sz w:val="21"/>
          <w:szCs w:val="21"/>
        </w:rPr>
        <w:t>加强法治乡村建设是实施乡村振兴战略、推进全面依法治国的基础性工作</w:t>
      </w:r>
      <w:r>
        <w:rPr>
          <w:rFonts w:cs="Times New Roman"/>
          <w:bCs/>
          <w:color w:val="000000"/>
          <w:sz w:val="21"/>
          <w:szCs w:val="21"/>
        </w:rPr>
        <w:t>。要教育引导农村广大干部群众办事依法、遇事找法、解决问题用法、化解矛盾靠法，积极推进法治乡村建设。</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5</w:t>
      </w:r>
      <w:r>
        <w:rPr>
          <w:rFonts w:hint="eastAsia" w:ascii="宋体" w:hAnsi="宋体" w:cs="Times New Roman"/>
          <w:bCs/>
          <w:color w:val="000000"/>
          <w:sz w:val="21"/>
          <w:szCs w:val="21"/>
        </w:rPr>
        <w:t>.</w:t>
      </w:r>
      <w:r>
        <w:rPr>
          <w:rFonts w:cs="Times New Roman"/>
          <w:bCs/>
          <w:color w:val="000000"/>
          <w:sz w:val="21"/>
          <w:szCs w:val="21"/>
        </w:rPr>
        <w:t>2020年是全面</w:t>
      </w:r>
      <w:r>
        <w:rPr>
          <w:rFonts w:cs="Times New Roman"/>
          <w:b/>
          <w:color w:val="000000"/>
          <w:sz w:val="21"/>
          <w:szCs w:val="21"/>
        </w:rPr>
        <w:t>建成</w:t>
      </w:r>
      <w:r>
        <w:rPr>
          <w:rFonts w:cs="Times New Roman"/>
          <w:bCs/>
          <w:color w:val="000000"/>
          <w:sz w:val="21"/>
          <w:szCs w:val="21"/>
        </w:rPr>
        <w:t>小康社会和</w:t>
      </w:r>
      <w:r>
        <w:rPr>
          <w:rFonts w:hint="eastAsia" w:ascii="宋体" w:hAnsi="宋体" w:cs="Times New Roman"/>
          <w:b/>
          <w:color w:val="000000"/>
          <w:sz w:val="21"/>
          <w:szCs w:val="21"/>
        </w:rPr>
        <w:t>“</w:t>
      </w:r>
      <w:r>
        <w:rPr>
          <w:rFonts w:cs="Times New Roman"/>
          <w:b/>
          <w:color w:val="000000"/>
          <w:sz w:val="21"/>
          <w:szCs w:val="21"/>
        </w:rPr>
        <w:t>十三五</w:t>
      </w:r>
      <w:r>
        <w:rPr>
          <w:rFonts w:hint="eastAsia" w:ascii="宋体" w:hAnsi="宋体" w:cs="Times New Roman"/>
          <w:bCs/>
          <w:color w:val="000000"/>
          <w:sz w:val="21"/>
          <w:szCs w:val="21"/>
        </w:rPr>
        <w:t>”</w:t>
      </w:r>
      <w:r>
        <w:rPr>
          <w:rFonts w:cs="Times New Roman"/>
          <w:bCs/>
          <w:color w:val="000000"/>
          <w:sz w:val="21"/>
          <w:szCs w:val="21"/>
        </w:rPr>
        <w:t>规划收官之年。</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6</w:t>
      </w:r>
      <w:r>
        <w:rPr>
          <w:rFonts w:hint="eastAsia" w:ascii="宋体" w:hAnsi="宋体" w:cs="Times New Roman"/>
          <w:bCs/>
          <w:color w:val="000000"/>
          <w:sz w:val="21"/>
          <w:szCs w:val="21"/>
        </w:rPr>
        <w:t>.</w:t>
      </w:r>
      <w:r>
        <w:rPr>
          <w:rFonts w:cs="Times New Roman"/>
          <w:bCs/>
          <w:color w:val="000000"/>
          <w:sz w:val="21"/>
          <w:szCs w:val="21"/>
        </w:rPr>
        <w:t>要继续做好社区防控，通过</w:t>
      </w:r>
      <w:r>
        <w:rPr>
          <w:rFonts w:cs="Times New Roman"/>
          <w:b/>
          <w:color w:val="000000"/>
          <w:sz w:val="21"/>
          <w:szCs w:val="21"/>
        </w:rPr>
        <w:t>社区、医疗机构发热门诊、面对面流调</w:t>
      </w:r>
      <w:r>
        <w:rPr>
          <w:rFonts w:hint="eastAsia" w:ascii="宋体" w:hAnsi="宋体" w:cs="Times New Roman"/>
          <w:bCs/>
          <w:color w:val="000000"/>
          <w:sz w:val="21"/>
          <w:szCs w:val="21"/>
        </w:rPr>
        <w:t>“</w:t>
      </w:r>
      <w:r>
        <w:rPr>
          <w:rFonts w:cs="Times New Roman"/>
          <w:bCs/>
          <w:color w:val="000000"/>
          <w:sz w:val="21"/>
          <w:szCs w:val="21"/>
        </w:rPr>
        <w:t>三道防线</w:t>
      </w:r>
      <w:r>
        <w:rPr>
          <w:rFonts w:hint="eastAsia" w:ascii="宋体" w:hAnsi="宋体" w:cs="Times New Roman"/>
          <w:bCs/>
          <w:color w:val="000000"/>
          <w:sz w:val="21"/>
          <w:szCs w:val="21"/>
        </w:rPr>
        <w:t>”</w:t>
      </w:r>
      <w:r>
        <w:rPr>
          <w:rFonts w:cs="Times New Roman"/>
          <w:bCs/>
          <w:color w:val="000000"/>
          <w:sz w:val="21"/>
          <w:szCs w:val="21"/>
        </w:rPr>
        <w:t>，及时发现确诊病例和无症状感染者，落实</w:t>
      </w:r>
      <w:r>
        <w:rPr>
          <w:rFonts w:hint="eastAsia" w:ascii="宋体" w:hAnsi="宋体" w:cs="Times New Roman"/>
          <w:bCs/>
          <w:color w:val="000000"/>
          <w:sz w:val="21"/>
          <w:szCs w:val="21"/>
        </w:rPr>
        <w:t>“</w:t>
      </w:r>
      <w:r>
        <w:rPr>
          <w:rFonts w:cs="Times New Roman"/>
          <w:bCs/>
          <w:color w:val="000000"/>
          <w:sz w:val="21"/>
          <w:szCs w:val="21"/>
        </w:rPr>
        <w:t>四早</w:t>
      </w:r>
      <w:r>
        <w:rPr>
          <w:rFonts w:hint="eastAsia" w:ascii="宋体" w:hAnsi="宋体" w:cs="Times New Roman"/>
          <w:bCs/>
          <w:color w:val="000000"/>
          <w:sz w:val="21"/>
          <w:szCs w:val="21"/>
        </w:rPr>
        <w:t>”</w:t>
      </w:r>
      <w:r>
        <w:rPr>
          <w:rFonts w:cs="Times New Roman"/>
          <w:bCs/>
          <w:color w:val="000000"/>
          <w:sz w:val="21"/>
          <w:szCs w:val="21"/>
        </w:rPr>
        <w:t>措施。</w:t>
      </w:r>
      <w:r>
        <w:rPr>
          <w:rFonts w:hint="eastAsia" w:ascii="方正舒体" w:hAnsi="方正舒体" w:eastAsia="方正舒体" w:cs="Times New Roman"/>
          <w:bCs/>
          <w:color w:val="000000"/>
          <w:sz w:val="21"/>
          <w:szCs w:val="21"/>
        </w:rPr>
        <w:t>（</w:t>
      </w:r>
      <w:r>
        <w:rPr>
          <w:rFonts w:cs="Times New Roman"/>
          <w:bCs/>
          <w:color w:val="000000"/>
          <w:sz w:val="21"/>
          <w:szCs w:val="21"/>
        </w:rPr>
        <w:t>早发现、早报告、早隔离、早治疗</w:t>
      </w:r>
      <w:r>
        <w:rPr>
          <w:rFonts w:hint="eastAsia" w:ascii="方正舒体" w:hAnsi="方正舒体" w:eastAsia="方正舒体" w:cs="Times New Roman"/>
          <w:bCs/>
          <w:color w:val="000000"/>
          <w:sz w:val="21"/>
          <w:szCs w:val="21"/>
        </w:rPr>
        <w:t>）</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7</w:t>
      </w:r>
      <w:r>
        <w:rPr>
          <w:rFonts w:hint="eastAsia" w:ascii="宋体" w:hAnsi="宋体" w:cs="Times New Roman"/>
          <w:bCs/>
          <w:color w:val="000000"/>
          <w:sz w:val="21"/>
          <w:szCs w:val="21"/>
        </w:rPr>
        <w:t>.</w:t>
      </w:r>
      <w:r>
        <w:rPr>
          <w:rFonts w:cs="Times New Roman"/>
          <w:bCs/>
          <w:color w:val="000000"/>
          <w:sz w:val="21"/>
          <w:szCs w:val="21"/>
        </w:rPr>
        <w:t>县一级在我们党的组织结构中处于承上启下的关键环节，</w:t>
      </w:r>
      <w:r>
        <w:rPr>
          <w:rFonts w:cs="Times New Roman"/>
          <w:b/>
          <w:color w:val="000000"/>
          <w:sz w:val="21"/>
          <w:szCs w:val="21"/>
        </w:rPr>
        <w:t>县委书记</w:t>
      </w:r>
      <w:r>
        <w:rPr>
          <w:rFonts w:cs="Times New Roman"/>
          <w:bCs/>
          <w:color w:val="000000"/>
          <w:sz w:val="21"/>
          <w:szCs w:val="21"/>
        </w:rPr>
        <w:t>是脱贫攻坚的</w:t>
      </w:r>
      <w:r>
        <w:rPr>
          <w:rFonts w:hint="eastAsia" w:ascii="宋体" w:hAnsi="宋体" w:cs="Times New Roman"/>
          <w:b/>
          <w:color w:val="000000"/>
          <w:sz w:val="21"/>
          <w:szCs w:val="21"/>
        </w:rPr>
        <w:t>“</w:t>
      </w:r>
      <w:r>
        <w:rPr>
          <w:rFonts w:cs="Times New Roman"/>
          <w:b/>
          <w:color w:val="000000"/>
          <w:sz w:val="21"/>
          <w:szCs w:val="21"/>
        </w:rPr>
        <w:t>一线指挥官</w:t>
      </w:r>
      <w:r>
        <w:rPr>
          <w:rFonts w:hint="eastAsia" w:ascii="宋体" w:hAnsi="宋体" w:cs="Times New Roman"/>
          <w:b/>
          <w:color w:val="000000"/>
          <w:sz w:val="21"/>
          <w:szCs w:val="21"/>
        </w:rPr>
        <w:t>”</w:t>
      </w:r>
      <w:r>
        <w:rPr>
          <w:rFonts w:cs="Times New Roman"/>
          <w:bCs/>
          <w:color w:val="000000"/>
          <w:sz w:val="21"/>
          <w:szCs w:val="21"/>
        </w:rPr>
        <w:t>。</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8</w:t>
      </w:r>
      <w:r>
        <w:rPr>
          <w:rFonts w:hint="eastAsia" w:ascii="宋体" w:hAnsi="宋体" w:cs="Times New Roman"/>
          <w:bCs/>
          <w:color w:val="000000"/>
          <w:sz w:val="21"/>
          <w:szCs w:val="21"/>
        </w:rPr>
        <w:t>.</w:t>
      </w:r>
      <w:r>
        <w:rPr>
          <w:rFonts w:cs="Times New Roman"/>
          <w:bCs/>
          <w:color w:val="000000"/>
          <w:sz w:val="21"/>
          <w:szCs w:val="21"/>
        </w:rPr>
        <w:t>推进城镇老旧小区改造，是改善居民居住条件、扩大内需的重要举措。今年各地计划改造城镇老旧小区3</w:t>
      </w:r>
      <w:r>
        <w:rPr>
          <w:rFonts w:hint="eastAsia" w:ascii="宋体" w:hAnsi="宋体" w:cs="Times New Roman"/>
          <w:bCs/>
          <w:color w:val="000000"/>
          <w:sz w:val="21"/>
          <w:szCs w:val="21"/>
        </w:rPr>
        <w:t>.</w:t>
      </w:r>
      <w:r>
        <w:rPr>
          <w:rFonts w:cs="Times New Roman"/>
          <w:bCs/>
          <w:color w:val="000000"/>
          <w:sz w:val="21"/>
          <w:szCs w:val="21"/>
        </w:rPr>
        <w:t>9万个，涉及居民近700万户，比去年增加</w:t>
      </w:r>
      <w:r>
        <w:rPr>
          <w:rFonts w:cs="Times New Roman"/>
          <w:b/>
          <w:color w:val="000000"/>
          <w:sz w:val="21"/>
          <w:szCs w:val="21"/>
        </w:rPr>
        <w:t>一倍</w:t>
      </w:r>
      <w:r>
        <w:rPr>
          <w:rFonts w:cs="Times New Roman"/>
          <w:bCs/>
          <w:color w:val="000000"/>
          <w:sz w:val="21"/>
          <w:szCs w:val="21"/>
        </w:rPr>
        <w:t>，重点是</w:t>
      </w:r>
      <w:r>
        <w:rPr>
          <w:rFonts w:cs="Times New Roman"/>
          <w:b/>
          <w:color w:val="000000"/>
          <w:sz w:val="21"/>
          <w:szCs w:val="21"/>
        </w:rPr>
        <w:t>2000年</w:t>
      </w:r>
      <w:r>
        <w:rPr>
          <w:rFonts w:cs="Times New Roman"/>
          <w:bCs/>
          <w:color w:val="000000"/>
          <w:sz w:val="21"/>
          <w:szCs w:val="21"/>
        </w:rPr>
        <w:t>底前建成的住宅区。</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9</w:t>
      </w:r>
      <w:r>
        <w:rPr>
          <w:rFonts w:hint="eastAsia" w:ascii="宋体" w:hAnsi="宋体" w:cs="Times New Roman"/>
          <w:bCs/>
          <w:color w:val="000000"/>
          <w:sz w:val="21"/>
          <w:szCs w:val="21"/>
        </w:rPr>
        <w:t>.</w:t>
      </w:r>
      <w:r>
        <w:rPr>
          <w:rFonts w:cs="Times New Roman"/>
          <w:bCs/>
          <w:color w:val="000000"/>
          <w:sz w:val="21"/>
          <w:szCs w:val="21"/>
        </w:rPr>
        <w:t>在疫情防控常态化前提下，坚持</w:t>
      </w:r>
      <w:r>
        <w:rPr>
          <w:rFonts w:cs="Times New Roman"/>
          <w:b/>
          <w:color w:val="000000"/>
          <w:sz w:val="21"/>
          <w:szCs w:val="21"/>
        </w:rPr>
        <w:t>稳中求进</w:t>
      </w:r>
      <w:r>
        <w:rPr>
          <w:rFonts w:cs="Times New Roman"/>
          <w:bCs/>
          <w:color w:val="000000"/>
          <w:sz w:val="21"/>
          <w:szCs w:val="21"/>
        </w:rPr>
        <w:t>工作总基调，坚持新发展理念，坚持</w:t>
      </w:r>
      <w:r>
        <w:rPr>
          <w:rFonts w:cs="Times New Roman"/>
          <w:b/>
          <w:color w:val="000000"/>
          <w:sz w:val="21"/>
          <w:szCs w:val="21"/>
        </w:rPr>
        <w:t>以供给侧结构性改革</w:t>
      </w:r>
      <w:r>
        <w:rPr>
          <w:rFonts w:cs="Times New Roman"/>
          <w:bCs/>
          <w:color w:val="000000"/>
          <w:sz w:val="21"/>
          <w:szCs w:val="21"/>
        </w:rPr>
        <w:t>为</w:t>
      </w:r>
      <w:r>
        <w:rPr>
          <w:rFonts w:cs="Times New Roman"/>
          <w:b/>
          <w:color w:val="000000"/>
          <w:sz w:val="21"/>
          <w:szCs w:val="21"/>
        </w:rPr>
        <w:t>主线</w:t>
      </w:r>
      <w:r>
        <w:rPr>
          <w:rFonts w:cs="Times New Roman"/>
          <w:bCs/>
          <w:color w:val="000000"/>
          <w:sz w:val="21"/>
          <w:szCs w:val="21"/>
        </w:rPr>
        <w:t>，坚持以</w:t>
      </w:r>
      <w:r>
        <w:rPr>
          <w:rFonts w:cs="Times New Roman"/>
          <w:b/>
          <w:color w:val="000000"/>
          <w:sz w:val="21"/>
          <w:szCs w:val="21"/>
        </w:rPr>
        <w:t>改革开放为动力</w:t>
      </w:r>
      <w:r>
        <w:rPr>
          <w:rFonts w:cs="Times New Roman"/>
          <w:bCs/>
          <w:color w:val="000000"/>
          <w:sz w:val="21"/>
          <w:szCs w:val="21"/>
        </w:rPr>
        <w:t>推动高质量发展。</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10</w:t>
      </w:r>
      <w:r>
        <w:rPr>
          <w:rFonts w:hint="eastAsia" w:ascii="宋体" w:hAnsi="宋体" w:cs="Times New Roman"/>
          <w:bCs/>
          <w:color w:val="000000"/>
          <w:sz w:val="21"/>
          <w:szCs w:val="21"/>
        </w:rPr>
        <w:t>.</w:t>
      </w:r>
      <w:r>
        <w:rPr>
          <w:rFonts w:cs="Times New Roman"/>
          <w:bCs/>
          <w:color w:val="000000"/>
          <w:sz w:val="21"/>
          <w:szCs w:val="21"/>
        </w:rPr>
        <w:t>要坚持稳中求进工作总基调。</w:t>
      </w:r>
      <w:r>
        <w:rPr>
          <w:rFonts w:cs="Times New Roman"/>
          <w:b/>
          <w:color w:val="000000"/>
          <w:sz w:val="21"/>
          <w:szCs w:val="21"/>
        </w:rPr>
        <w:t>稳是大局</w:t>
      </w:r>
      <w:r>
        <w:rPr>
          <w:rFonts w:cs="Times New Roman"/>
          <w:bCs/>
          <w:color w:val="000000"/>
          <w:sz w:val="21"/>
          <w:szCs w:val="21"/>
        </w:rPr>
        <w:t>，必须确保疫情不反弹，稳住经济基本盘，兜住</w:t>
      </w:r>
      <w:r>
        <w:rPr>
          <w:rFonts w:cs="Times New Roman"/>
          <w:b/>
          <w:color w:val="000000"/>
          <w:sz w:val="21"/>
          <w:szCs w:val="21"/>
        </w:rPr>
        <w:t>民生</w:t>
      </w:r>
      <w:r>
        <w:rPr>
          <w:rFonts w:cs="Times New Roman"/>
          <w:bCs/>
          <w:color w:val="000000"/>
          <w:sz w:val="21"/>
          <w:szCs w:val="21"/>
        </w:rPr>
        <w:t>底线。</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11</w:t>
      </w:r>
      <w:r>
        <w:rPr>
          <w:rFonts w:hint="eastAsia" w:ascii="宋体" w:hAnsi="宋体" w:cs="Times New Roman"/>
          <w:bCs/>
          <w:color w:val="000000"/>
          <w:sz w:val="21"/>
          <w:szCs w:val="21"/>
        </w:rPr>
        <w:t>.</w:t>
      </w:r>
      <w:r>
        <w:rPr>
          <w:rFonts w:cs="Times New Roman"/>
          <w:bCs/>
          <w:color w:val="000000"/>
          <w:sz w:val="21"/>
          <w:szCs w:val="21"/>
        </w:rPr>
        <w:t>要调动民间投资积极性。要支持企业</w:t>
      </w:r>
      <w:r>
        <w:rPr>
          <w:rFonts w:cs="Times New Roman"/>
          <w:b/>
          <w:color w:val="000000"/>
          <w:sz w:val="21"/>
          <w:szCs w:val="21"/>
        </w:rPr>
        <w:t>出口转内销</w:t>
      </w:r>
      <w:r>
        <w:rPr>
          <w:rFonts w:cs="Times New Roman"/>
          <w:bCs/>
          <w:color w:val="000000"/>
          <w:sz w:val="21"/>
          <w:szCs w:val="21"/>
        </w:rPr>
        <w:t>。要着力帮扶</w:t>
      </w:r>
      <w:r>
        <w:rPr>
          <w:rFonts w:cs="Times New Roman"/>
          <w:b/>
          <w:color w:val="000000"/>
          <w:sz w:val="21"/>
          <w:szCs w:val="21"/>
        </w:rPr>
        <w:t>中小企业</w:t>
      </w:r>
      <w:r>
        <w:rPr>
          <w:rFonts w:cs="Times New Roman"/>
          <w:bCs/>
          <w:color w:val="000000"/>
          <w:sz w:val="21"/>
          <w:szCs w:val="21"/>
        </w:rPr>
        <w:t>渡过难关，加快落实各项政策，推进减税降费，降低融资成本和房屋租金，提高中小企业生存和发展能力。</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12</w:t>
      </w:r>
      <w:r>
        <w:rPr>
          <w:rFonts w:hint="eastAsia" w:ascii="宋体" w:hAnsi="宋体" w:cs="Times New Roman"/>
          <w:bCs/>
          <w:color w:val="000000"/>
          <w:sz w:val="21"/>
          <w:szCs w:val="21"/>
        </w:rPr>
        <w:t>.</w:t>
      </w:r>
      <w:r>
        <w:rPr>
          <w:rFonts w:cs="Times New Roman"/>
          <w:bCs/>
          <w:color w:val="000000"/>
          <w:sz w:val="21"/>
          <w:szCs w:val="21"/>
        </w:rPr>
        <w:t>今年要优先</w:t>
      </w:r>
      <w:r>
        <w:rPr>
          <w:rFonts w:cs="Times New Roman"/>
          <w:b/>
          <w:color w:val="000000"/>
          <w:sz w:val="21"/>
          <w:szCs w:val="21"/>
        </w:rPr>
        <w:t>稳就业保民生</w:t>
      </w:r>
      <w:r>
        <w:rPr>
          <w:rFonts w:cs="Times New Roman"/>
          <w:bCs/>
          <w:color w:val="000000"/>
          <w:sz w:val="21"/>
          <w:szCs w:val="21"/>
        </w:rPr>
        <w:t>，坚决打赢脱贫攻坚战，努力实现全面建成小康社会目标任务</w:t>
      </w:r>
      <w:r>
        <w:rPr>
          <w:rFonts w:hint="eastAsia" w:ascii="宋体" w:hAnsi="宋体" w:cs="Times New Roman"/>
          <w:bCs/>
          <w:color w:val="000000"/>
          <w:sz w:val="21"/>
          <w:szCs w:val="21"/>
        </w:rPr>
        <w:t>；</w:t>
      </w:r>
      <w:r>
        <w:rPr>
          <w:rFonts w:cs="Times New Roman"/>
          <w:bCs/>
          <w:color w:val="000000"/>
          <w:sz w:val="21"/>
          <w:szCs w:val="21"/>
        </w:rPr>
        <w:t>城镇新增就业900万人以上，城镇调查失业率6</w:t>
      </w:r>
      <w:r>
        <w:rPr>
          <w:rFonts w:hint="eastAsia" w:ascii="PMingLiU-ExtB" w:hAnsi="PMingLiU-ExtB" w:eastAsia="PMingLiU-ExtB" w:cs="Times New Roman"/>
          <w:bCs/>
          <w:color w:val="000000"/>
          <w:sz w:val="21"/>
          <w:szCs w:val="21"/>
        </w:rPr>
        <w:t>%</w:t>
      </w:r>
      <w:r>
        <w:rPr>
          <w:rFonts w:cs="Times New Roman"/>
          <w:bCs/>
          <w:color w:val="000000"/>
          <w:sz w:val="21"/>
          <w:szCs w:val="21"/>
        </w:rPr>
        <w:t>左右，城镇登记失业率5</w:t>
      </w:r>
      <w:r>
        <w:rPr>
          <w:rFonts w:hint="eastAsia" w:ascii="宋体" w:hAnsi="宋体" w:cs="Times New Roman"/>
          <w:bCs/>
          <w:color w:val="000000"/>
          <w:sz w:val="21"/>
          <w:szCs w:val="21"/>
        </w:rPr>
        <w:t>.</w:t>
      </w:r>
      <w:r>
        <w:rPr>
          <w:rFonts w:cs="Times New Roman"/>
          <w:bCs/>
          <w:color w:val="000000"/>
          <w:sz w:val="21"/>
          <w:szCs w:val="21"/>
        </w:rPr>
        <w:t>5</w:t>
      </w:r>
      <w:r>
        <w:rPr>
          <w:rFonts w:hint="eastAsia" w:ascii="PMingLiU-ExtB" w:hAnsi="PMingLiU-ExtB" w:eastAsia="PMingLiU-ExtB" w:cs="Times New Roman"/>
          <w:bCs/>
          <w:color w:val="000000"/>
          <w:sz w:val="21"/>
          <w:szCs w:val="21"/>
        </w:rPr>
        <w:t>%</w:t>
      </w:r>
      <w:r>
        <w:rPr>
          <w:rFonts w:cs="Times New Roman"/>
          <w:bCs/>
          <w:color w:val="000000"/>
          <w:sz w:val="21"/>
          <w:szCs w:val="21"/>
        </w:rPr>
        <w:t>左右</w:t>
      </w:r>
      <w:r>
        <w:rPr>
          <w:rFonts w:hint="eastAsia" w:ascii="宋体" w:hAnsi="宋体" w:cs="Times New Roman"/>
          <w:bCs/>
          <w:color w:val="000000"/>
          <w:sz w:val="21"/>
          <w:szCs w:val="21"/>
        </w:rPr>
        <w:t>；</w:t>
      </w:r>
      <w:r>
        <w:rPr>
          <w:rFonts w:cs="Times New Roman"/>
          <w:bCs/>
          <w:color w:val="000000"/>
          <w:sz w:val="21"/>
          <w:szCs w:val="21"/>
        </w:rPr>
        <w:t>居民消费价格涨幅3</w:t>
      </w:r>
      <w:r>
        <w:rPr>
          <w:rFonts w:hint="eastAsia" w:ascii="宋体" w:hAnsi="宋体" w:cs="Times New Roman"/>
          <w:bCs/>
          <w:color w:val="000000"/>
          <w:sz w:val="21"/>
          <w:szCs w:val="21"/>
        </w:rPr>
        <w:t>.</w:t>
      </w:r>
      <w:r>
        <w:rPr>
          <w:rFonts w:cs="Times New Roman"/>
          <w:bCs/>
          <w:color w:val="000000"/>
          <w:sz w:val="21"/>
          <w:szCs w:val="21"/>
        </w:rPr>
        <w:t>5</w:t>
      </w:r>
      <w:r>
        <w:rPr>
          <w:rFonts w:hint="eastAsia" w:ascii="PMingLiU-ExtB" w:hAnsi="PMingLiU-ExtB" w:eastAsia="PMingLiU-ExtB" w:cs="Times New Roman"/>
          <w:bCs/>
          <w:color w:val="000000"/>
          <w:sz w:val="21"/>
          <w:szCs w:val="21"/>
        </w:rPr>
        <w:t>%</w:t>
      </w:r>
      <w:r>
        <w:rPr>
          <w:rFonts w:cs="Times New Roman"/>
          <w:bCs/>
          <w:color w:val="000000"/>
          <w:sz w:val="21"/>
          <w:szCs w:val="21"/>
        </w:rPr>
        <w:t>左右。</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13</w:t>
      </w:r>
      <w:r>
        <w:rPr>
          <w:rFonts w:hint="eastAsia" w:ascii="宋体" w:hAnsi="宋体" w:cs="Times New Roman"/>
          <w:bCs/>
          <w:color w:val="000000"/>
          <w:sz w:val="21"/>
          <w:szCs w:val="21"/>
        </w:rPr>
        <w:t>.</w:t>
      </w:r>
      <w:r>
        <w:rPr>
          <w:rFonts w:cs="Times New Roman"/>
          <w:bCs/>
          <w:color w:val="000000"/>
          <w:sz w:val="21"/>
          <w:szCs w:val="21"/>
        </w:rPr>
        <w:t>守住</w:t>
      </w:r>
      <w:r>
        <w:rPr>
          <w:rFonts w:hint="eastAsia" w:ascii="宋体" w:hAnsi="宋体" w:cs="Times New Roman"/>
          <w:b/>
          <w:color w:val="000000"/>
          <w:sz w:val="21"/>
          <w:szCs w:val="21"/>
        </w:rPr>
        <w:t>“</w:t>
      </w:r>
      <w:r>
        <w:rPr>
          <w:rFonts w:cs="Times New Roman"/>
          <w:b/>
          <w:color w:val="000000"/>
          <w:sz w:val="21"/>
          <w:szCs w:val="21"/>
        </w:rPr>
        <w:t>六保</w:t>
      </w:r>
      <w:r>
        <w:rPr>
          <w:rFonts w:hint="eastAsia" w:ascii="宋体" w:hAnsi="宋体" w:cs="Times New Roman"/>
          <w:b/>
          <w:color w:val="000000"/>
          <w:sz w:val="21"/>
          <w:szCs w:val="21"/>
        </w:rPr>
        <w:t>”</w:t>
      </w:r>
      <w:r>
        <w:rPr>
          <w:rFonts w:cs="Times New Roman"/>
          <w:bCs/>
          <w:color w:val="000000"/>
          <w:sz w:val="21"/>
          <w:szCs w:val="21"/>
        </w:rPr>
        <w:t>底线，就能稳住经济基本盘</w:t>
      </w:r>
      <w:r>
        <w:rPr>
          <w:rFonts w:hint="eastAsia" w:ascii="宋体" w:hAnsi="宋体" w:cs="Times New Roman"/>
          <w:bCs/>
          <w:color w:val="000000"/>
          <w:sz w:val="21"/>
          <w:szCs w:val="21"/>
        </w:rPr>
        <w:t>；</w:t>
      </w:r>
      <w:r>
        <w:rPr>
          <w:rFonts w:cs="Times New Roman"/>
          <w:bCs/>
          <w:color w:val="000000"/>
          <w:sz w:val="21"/>
          <w:szCs w:val="21"/>
        </w:rPr>
        <w:t>以保促稳、稳中求进，就能为全面建成小康社会夯实基础。</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14</w:t>
      </w:r>
      <w:r>
        <w:rPr>
          <w:rFonts w:hint="eastAsia" w:ascii="宋体" w:hAnsi="宋体" w:cs="Times New Roman"/>
          <w:bCs/>
          <w:color w:val="000000"/>
          <w:sz w:val="21"/>
          <w:szCs w:val="21"/>
        </w:rPr>
        <w:t>.</w:t>
      </w:r>
      <w:r>
        <w:rPr>
          <w:rFonts w:cs="Times New Roman"/>
          <w:b/>
          <w:color w:val="000000"/>
          <w:sz w:val="21"/>
          <w:szCs w:val="21"/>
        </w:rPr>
        <w:t>脱贫</w:t>
      </w:r>
      <w:r>
        <w:rPr>
          <w:rFonts w:cs="Times New Roman"/>
          <w:bCs/>
          <w:color w:val="000000"/>
          <w:sz w:val="21"/>
          <w:szCs w:val="21"/>
        </w:rPr>
        <w:t>是全面建成小康社会必须完成的</w:t>
      </w:r>
      <w:r>
        <w:rPr>
          <w:rFonts w:cs="Times New Roman"/>
          <w:b/>
          <w:color w:val="000000"/>
          <w:sz w:val="21"/>
          <w:szCs w:val="21"/>
        </w:rPr>
        <w:t>硬任务</w:t>
      </w:r>
      <w:r>
        <w:rPr>
          <w:rFonts w:cs="Times New Roman"/>
          <w:bCs/>
          <w:color w:val="000000"/>
          <w:sz w:val="21"/>
          <w:szCs w:val="21"/>
        </w:rPr>
        <w:t>。</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15</w:t>
      </w:r>
      <w:r>
        <w:rPr>
          <w:rFonts w:hint="eastAsia" w:ascii="宋体" w:hAnsi="宋体" w:cs="Times New Roman"/>
          <w:bCs/>
          <w:color w:val="000000"/>
          <w:sz w:val="21"/>
          <w:szCs w:val="21"/>
        </w:rPr>
        <w:t>.</w:t>
      </w:r>
      <w:r>
        <w:rPr>
          <w:rFonts w:cs="Times New Roman"/>
          <w:bCs/>
          <w:color w:val="000000"/>
          <w:sz w:val="21"/>
          <w:szCs w:val="21"/>
        </w:rPr>
        <w:t>我国内需潜力大，要深化供给侧结构性改革，突出</w:t>
      </w:r>
      <w:r>
        <w:rPr>
          <w:rFonts w:cs="Times New Roman"/>
          <w:b/>
          <w:color w:val="000000"/>
          <w:sz w:val="21"/>
          <w:szCs w:val="21"/>
        </w:rPr>
        <w:t>民生导向</w:t>
      </w:r>
      <w:r>
        <w:rPr>
          <w:rFonts w:cs="Times New Roman"/>
          <w:bCs/>
          <w:color w:val="000000"/>
          <w:sz w:val="21"/>
          <w:szCs w:val="21"/>
        </w:rPr>
        <w:t>，使提振消费与扩大投资有效结合、相互促进。</w:t>
      </w:r>
    </w:p>
    <w:p>
      <w:pPr>
        <w:pStyle w:val="7"/>
        <w:spacing w:before="0" w:beforeAutospacing="0" w:after="0" w:afterAutospacing="0"/>
        <w:ind w:firstLine="429"/>
        <w:jc w:val="both"/>
        <w:rPr>
          <w:rFonts w:cs="Times New Roman"/>
          <w:b/>
          <w:color w:val="000000"/>
          <w:sz w:val="21"/>
          <w:szCs w:val="21"/>
        </w:rPr>
      </w:pPr>
      <w:r>
        <w:rPr>
          <w:rFonts w:cs="Times New Roman"/>
          <w:bCs/>
          <w:color w:val="000000"/>
          <w:sz w:val="21"/>
          <w:szCs w:val="21"/>
        </w:rPr>
        <w:t>16</w:t>
      </w:r>
      <w:r>
        <w:rPr>
          <w:rFonts w:hint="eastAsia" w:ascii="宋体" w:hAnsi="宋体" w:cs="Times New Roman"/>
          <w:bCs/>
          <w:color w:val="000000"/>
          <w:sz w:val="21"/>
          <w:szCs w:val="21"/>
        </w:rPr>
        <w:t>.“</w:t>
      </w:r>
      <w:r>
        <w:rPr>
          <w:rFonts w:cs="Times New Roman"/>
          <w:bCs/>
          <w:color w:val="000000"/>
          <w:sz w:val="21"/>
          <w:szCs w:val="21"/>
        </w:rPr>
        <w:t>两新一重</w:t>
      </w:r>
      <w:r>
        <w:rPr>
          <w:rFonts w:hint="eastAsia" w:ascii="宋体" w:hAnsi="宋体" w:cs="Times New Roman"/>
          <w:bCs/>
          <w:color w:val="000000"/>
          <w:sz w:val="21"/>
          <w:szCs w:val="21"/>
        </w:rPr>
        <w:t>”</w:t>
      </w:r>
      <w:r>
        <w:rPr>
          <w:rFonts w:cs="Times New Roman"/>
          <w:bCs/>
          <w:color w:val="000000"/>
          <w:sz w:val="21"/>
          <w:szCs w:val="21"/>
        </w:rPr>
        <w:t>建设，主要是：</w:t>
      </w:r>
      <w:r>
        <w:rPr>
          <w:rFonts w:cs="Times New Roman"/>
          <w:b/>
          <w:color w:val="000000"/>
          <w:sz w:val="21"/>
          <w:szCs w:val="21"/>
        </w:rPr>
        <w:t>加强新型基础设施建设，加强新型城镇化建设，加强交通、水利等重大工程建设。</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17</w:t>
      </w:r>
      <w:r>
        <w:rPr>
          <w:rFonts w:hint="eastAsia" w:ascii="宋体" w:hAnsi="宋体" w:cs="Times New Roman"/>
          <w:bCs/>
          <w:color w:val="000000"/>
          <w:sz w:val="21"/>
          <w:szCs w:val="21"/>
        </w:rPr>
        <w:t>.</w:t>
      </w:r>
      <w:r>
        <w:rPr>
          <w:rFonts w:cs="Times New Roman"/>
          <w:bCs/>
          <w:color w:val="000000"/>
          <w:sz w:val="21"/>
          <w:szCs w:val="21"/>
        </w:rPr>
        <w:t>农业生产压实</w:t>
      </w:r>
      <w:r>
        <w:rPr>
          <w:rFonts w:hint="eastAsia" w:ascii="宋体" w:hAnsi="宋体" w:cs="Times New Roman"/>
          <w:bCs/>
          <w:color w:val="000000"/>
          <w:sz w:val="21"/>
          <w:szCs w:val="21"/>
        </w:rPr>
        <w:t>“</w:t>
      </w:r>
      <w:r>
        <w:rPr>
          <w:rFonts w:cs="Times New Roman"/>
          <w:bCs/>
          <w:color w:val="000000"/>
          <w:sz w:val="21"/>
          <w:szCs w:val="21"/>
        </w:rPr>
        <w:t>米袋子</w:t>
      </w:r>
      <w:r>
        <w:rPr>
          <w:rFonts w:hint="eastAsia" w:ascii="宋体" w:hAnsi="宋体" w:cs="Times New Roman"/>
          <w:bCs/>
          <w:color w:val="000000"/>
          <w:sz w:val="21"/>
          <w:szCs w:val="21"/>
        </w:rPr>
        <w:t>”</w:t>
      </w:r>
      <w:r>
        <w:rPr>
          <w:rFonts w:cs="Times New Roman"/>
          <w:b/>
          <w:color w:val="000000"/>
          <w:sz w:val="21"/>
          <w:szCs w:val="21"/>
        </w:rPr>
        <w:t>省长负责制</w:t>
      </w:r>
      <w:r>
        <w:rPr>
          <w:rFonts w:cs="Times New Roman"/>
          <w:bCs/>
          <w:color w:val="000000"/>
          <w:sz w:val="21"/>
          <w:szCs w:val="21"/>
        </w:rPr>
        <w:t>和</w:t>
      </w:r>
      <w:r>
        <w:rPr>
          <w:rFonts w:hint="eastAsia" w:ascii="宋体" w:hAnsi="宋体" w:cs="Times New Roman"/>
          <w:bCs/>
          <w:color w:val="000000"/>
          <w:sz w:val="21"/>
          <w:szCs w:val="21"/>
        </w:rPr>
        <w:t>“</w:t>
      </w:r>
      <w:r>
        <w:rPr>
          <w:rFonts w:cs="Times New Roman"/>
          <w:bCs/>
          <w:color w:val="000000"/>
          <w:sz w:val="21"/>
          <w:szCs w:val="21"/>
        </w:rPr>
        <w:t>菜篮子</w:t>
      </w:r>
      <w:r>
        <w:rPr>
          <w:rFonts w:hint="eastAsia" w:ascii="宋体" w:hAnsi="宋体" w:cs="Times New Roman"/>
          <w:bCs/>
          <w:color w:val="000000"/>
          <w:sz w:val="21"/>
          <w:szCs w:val="21"/>
        </w:rPr>
        <w:t>”</w:t>
      </w:r>
      <w:r>
        <w:rPr>
          <w:rFonts w:cs="Times New Roman"/>
          <w:b/>
          <w:color w:val="000000"/>
          <w:sz w:val="21"/>
          <w:szCs w:val="21"/>
        </w:rPr>
        <w:t>市长负责制</w:t>
      </w:r>
      <w:r>
        <w:rPr>
          <w:rFonts w:cs="Times New Roman"/>
          <w:bCs/>
          <w:color w:val="000000"/>
          <w:sz w:val="21"/>
          <w:szCs w:val="21"/>
        </w:rPr>
        <w:t>。</w:t>
      </w:r>
    </w:p>
    <w:p>
      <w:pPr>
        <w:pStyle w:val="7"/>
        <w:spacing w:before="0" w:beforeAutospacing="0" w:after="0" w:afterAutospacing="0"/>
        <w:ind w:firstLine="429"/>
        <w:jc w:val="both"/>
        <w:rPr>
          <w:rFonts w:cs="Times New Roman"/>
          <w:bCs/>
          <w:color w:val="000000"/>
          <w:sz w:val="21"/>
          <w:szCs w:val="21"/>
        </w:rPr>
      </w:pPr>
      <w:r>
        <w:rPr>
          <w:rFonts w:cs="Times New Roman"/>
          <w:bCs/>
          <w:color w:val="000000"/>
          <w:sz w:val="21"/>
          <w:szCs w:val="21"/>
        </w:rPr>
        <w:t>18</w:t>
      </w:r>
      <w:r>
        <w:rPr>
          <w:rFonts w:hint="eastAsia" w:ascii="宋体" w:hAnsi="宋体" w:cs="Times New Roman"/>
          <w:bCs/>
          <w:color w:val="000000"/>
          <w:sz w:val="21"/>
          <w:szCs w:val="21"/>
        </w:rPr>
        <w:t>.</w:t>
      </w:r>
      <w:r>
        <w:rPr>
          <w:rFonts w:cs="Times New Roman"/>
          <w:bCs/>
          <w:color w:val="000000"/>
          <w:sz w:val="21"/>
          <w:szCs w:val="21"/>
        </w:rPr>
        <w:t>2020年，我们党将带领人民实现</w:t>
      </w:r>
      <w:r>
        <w:rPr>
          <w:rFonts w:cs="Times New Roman"/>
          <w:b/>
          <w:color w:val="000000"/>
          <w:sz w:val="21"/>
          <w:szCs w:val="21"/>
        </w:rPr>
        <w:t>第一个百年</w:t>
      </w:r>
      <w:r>
        <w:rPr>
          <w:rFonts w:cs="Times New Roman"/>
          <w:bCs/>
          <w:color w:val="000000"/>
          <w:sz w:val="21"/>
          <w:szCs w:val="21"/>
        </w:rPr>
        <w:t>奋斗目标。坚持党的领导、人民当家作主、依法治国有机统一，紧扣推进国家治理体系和治理能力现代化，紧扣统筹推进</w:t>
      </w:r>
      <w:r>
        <w:rPr>
          <w:rFonts w:hint="eastAsia" w:ascii="宋体" w:hAnsi="宋体" w:cs="Times New Roman"/>
          <w:bCs/>
          <w:color w:val="000000"/>
          <w:sz w:val="21"/>
          <w:szCs w:val="21"/>
        </w:rPr>
        <w:t>“</w:t>
      </w:r>
      <w:r>
        <w:rPr>
          <w:rFonts w:cs="Times New Roman"/>
          <w:bCs/>
          <w:color w:val="000000"/>
          <w:sz w:val="21"/>
          <w:szCs w:val="21"/>
        </w:rPr>
        <w:t>五位一体</w:t>
      </w:r>
      <w:r>
        <w:rPr>
          <w:rFonts w:hint="eastAsia" w:ascii="宋体" w:hAnsi="宋体" w:cs="Times New Roman"/>
          <w:bCs/>
          <w:color w:val="000000"/>
          <w:sz w:val="21"/>
          <w:szCs w:val="21"/>
        </w:rPr>
        <w:t>”</w:t>
      </w:r>
      <w:r>
        <w:rPr>
          <w:rFonts w:cs="Times New Roman"/>
          <w:b/>
          <w:color w:val="000000"/>
          <w:sz w:val="21"/>
          <w:szCs w:val="21"/>
        </w:rPr>
        <w:t>总体布局</w:t>
      </w:r>
      <w:r>
        <w:rPr>
          <w:rFonts w:cs="Times New Roman"/>
          <w:bCs/>
          <w:color w:val="000000"/>
          <w:sz w:val="21"/>
          <w:szCs w:val="21"/>
        </w:rPr>
        <w:t>、协调推进</w:t>
      </w:r>
      <w:r>
        <w:rPr>
          <w:rFonts w:hint="eastAsia" w:ascii="宋体" w:hAnsi="宋体" w:cs="Times New Roman"/>
          <w:bCs/>
          <w:color w:val="000000"/>
          <w:sz w:val="21"/>
          <w:szCs w:val="21"/>
        </w:rPr>
        <w:t>“</w:t>
      </w:r>
      <w:r>
        <w:rPr>
          <w:rFonts w:cs="Times New Roman"/>
          <w:bCs/>
          <w:color w:val="000000"/>
          <w:sz w:val="21"/>
          <w:szCs w:val="21"/>
        </w:rPr>
        <w:t>四个全面</w:t>
      </w:r>
      <w:r>
        <w:rPr>
          <w:rFonts w:hint="eastAsia" w:ascii="宋体" w:hAnsi="宋体" w:cs="Times New Roman"/>
          <w:bCs/>
          <w:color w:val="000000"/>
          <w:sz w:val="21"/>
          <w:szCs w:val="21"/>
        </w:rPr>
        <w:t>”</w:t>
      </w:r>
      <w:r>
        <w:rPr>
          <w:rFonts w:cs="Times New Roman"/>
          <w:b/>
          <w:color w:val="000000"/>
          <w:sz w:val="21"/>
          <w:szCs w:val="21"/>
        </w:rPr>
        <w:t>战略布局</w:t>
      </w:r>
      <w:r>
        <w:rPr>
          <w:rFonts w:cs="Times New Roman"/>
          <w:bCs/>
          <w:color w:val="000000"/>
          <w:sz w:val="21"/>
          <w:szCs w:val="21"/>
        </w:rPr>
        <w:t>，紧扣决战决胜脱贫攻坚目标任务、全面建成小康社会。</w:t>
      </w:r>
    </w:p>
    <w:p>
      <w:pPr>
        <w:pStyle w:val="3"/>
        <w:spacing w:before="314" w:after="314"/>
        <w:rPr>
          <w:rFonts w:hint="eastAsia"/>
        </w:rPr>
      </w:pPr>
      <w:r>
        <w:rPr>
          <w:rFonts w:hint="eastAsia"/>
        </w:rPr>
        <w:t>考点三：前沿科技</w:t>
      </w:r>
    </w:p>
    <w:p>
      <w:pPr>
        <w:ind w:firstLine="431"/>
        <w:rPr>
          <w:rFonts w:cs="Times New Roman"/>
          <w:b/>
          <w:bCs/>
        </w:rPr>
      </w:pPr>
      <w:r>
        <w:rPr>
          <w:rFonts w:hint="eastAsia" w:cs="Times New Roman"/>
          <w:b/>
          <w:bCs/>
        </w:rPr>
        <w:t>1</w:t>
      </w:r>
      <w:r>
        <w:rPr>
          <w:rFonts w:hint="eastAsia" w:ascii="宋体" w:hAnsi="宋体" w:cs="Times New Roman"/>
          <w:b/>
          <w:bCs/>
        </w:rPr>
        <w:t>.</w:t>
      </w:r>
      <w:r>
        <w:rPr>
          <w:rFonts w:cs="Times New Roman"/>
          <w:b/>
          <w:bCs/>
        </w:rPr>
        <w:t>2020年4月24日，中国行星探测任务被命名为</w:t>
      </w:r>
      <w:r>
        <w:rPr>
          <w:rFonts w:hint="eastAsia" w:ascii="宋体" w:hAnsi="宋体" w:cs="Times New Roman"/>
          <w:b/>
          <w:bCs/>
        </w:rPr>
        <w:t>“</w:t>
      </w:r>
      <w:r>
        <w:rPr>
          <w:rFonts w:cs="Times New Roman"/>
          <w:b/>
          <w:bCs/>
        </w:rPr>
        <w:t>天问系列</w:t>
      </w:r>
      <w:r>
        <w:rPr>
          <w:rFonts w:hint="eastAsia" w:ascii="宋体" w:hAnsi="宋体" w:cs="Times New Roman"/>
          <w:b/>
          <w:bCs/>
        </w:rPr>
        <w:t>”</w:t>
      </w:r>
      <w:r>
        <w:rPr>
          <w:rFonts w:cs="Times New Roman"/>
          <w:b/>
          <w:bCs/>
        </w:rPr>
        <w:t>，首次火星探测任务被命名为</w:t>
      </w:r>
      <w:r>
        <w:rPr>
          <w:rFonts w:hint="eastAsia" w:ascii="宋体" w:hAnsi="宋体" w:cs="Times New Roman"/>
          <w:b/>
          <w:bCs/>
        </w:rPr>
        <w:t>“</w:t>
      </w:r>
      <w:r>
        <w:rPr>
          <w:rFonts w:cs="Times New Roman"/>
          <w:b/>
          <w:bCs/>
        </w:rPr>
        <w:t>天问一号</w:t>
      </w:r>
      <w:r>
        <w:rPr>
          <w:rFonts w:hint="eastAsia" w:ascii="宋体" w:hAnsi="宋体" w:cs="Times New Roman"/>
          <w:b/>
          <w:bCs/>
        </w:rPr>
        <w:t>”</w:t>
      </w:r>
      <w:r>
        <w:rPr>
          <w:rFonts w:cs="Times New Roman"/>
          <w:b/>
          <w:bCs/>
        </w:rPr>
        <w:t>，后续行星任务依次编号。</w:t>
      </w:r>
    </w:p>
    <w:p>
      <w:pPr>
        <w:ind w:firstLine="429"/>
        <w:rPr>
          <w:rFonts w:cs="Times New Roman"/>
          <w:b/>
          <w:bCs/>
        </w:rPr>
      </w:pPr>
      <w:r>
        <w:rPr>
          <w:rFonts w:hint="eastAsia" w:cs="Times New Roman"/>
        </w:rPr>
        <w:t>2</w:t>
      </w:r>
      <w:r>
        <w:rPr>
          <w:rFonts w:hint="eastAsia" w:ascii="宋体" w:hAnsi="宋体" w:cs="Times New Roman"/>
        </w:rPr>
        <w:t>.</w:t>
      </w:r>
      <w:r>
        <w:rPr>
          <w:rFonts w:cs="Times New Roman"/>
        </w:rPr>
        <w:t>2020年6月23日9时43分，我国在西昌卫星发射中心用</w:t>
      </w:r>
      <w:r>
        <w:rPr>
          <w:rFonts w:cs="Times New Roman"/>
          <w:b/>
          <w:bCs/>
        </w:rPr>
        <w:t>长征三号乙</w:t>
      </w:r>
      <w:r>
        <w:rPr>
          <w:rFonts w:cs="Times New Roman"/>
        </w:rPr>
        <w:t>运载火箭，成功发射北斗系统</w:t>
      </w:r>
      <w:r>
        <w:rPr>
          <w:rFonts w:cs="Times New Roman"/>
          <w:b/>
          <w:bCs/>
        </w:rPr>
        <w:t>第五十五颗导航卫星</w:t>
      </w:r>
      <w:r>
        <w:rPr>
          <w:rFonts w:cs="Times New Roman"/>
        </w:rPr>
        <w:t>，暨北斗三号最后一颗全球组网卫星。</w:t>
      </w:r>
      <w:r>
        <w:rPr>
          <w:rFonts w:cs="Times New Roman"/>
          <w:b/>
          <w:bCs/>
        </w:rPr>
        <w:t>至此，北斗三号全球卫星导航系统星座部署比原计划提前半年全面完成。</w:t>
      </w:r>
    </w:p>
    <w:p>
      <w:pPr>
        <w:ind w:firstLine="431"/>
        <w:rPr>
          <w:rFonts w:cs="Times New Roman"/>
          <w:b/>
          <w:bCs/>
        </w:rPr>
      </w:pPr>
      <w:r>
        <w:rPr>
          <w:rFonts w:cs="Times New Roman"/>
          <w:b/>
          <w:bCs/>
        </w:rPr>
        <w:t>北斗三号系统中重量最重、体积最大的一颗，具备无线电导航、无线电测定、星基增强、精密单点定位、短报文通信、星间通信与测量六大功能。</w:t>
      </w:r>
    </w:p>
    <w:p>
      <w:pPr>
        <w:pStyle w:val="3"/>
        <w:spacing w:before="314" w:after="314"/>
        <w:rPr>
          <w:rFonts w:hint="eastAsia"/>
        </w:rPr>
      </w:pPr>
      <w:r>
        <w:t>考点</w:t>
      </w:r>
      <w:r>
        <w:rPr>
          <w:rFonts w:hint="eastAsia"/>
        </w:rPr>
        <w:t>四</w:t>
      </w:r>
      <w:r>
        <w:t>：</w:t>
      </w:r>
      <w:r>
        <w:rPr>
          <w:rFonts w:hint="eastAsia"/>
        </w:rPr>
        <w:t xml:space="preserve">白山市情 </w:t>
      </w:r>
    </w:p>
    <w:p>
      <w:pPr>
        <w:ind w:firstLine="431"/>
        <w:rPr>
          <w:b/>
          <w:bCs/>
          <w:color w:val="000000" w:themeColor="text1"/>
          <w14:textFill>
            <w14:solidFill>
              <w14:schemeClr w14:val="tx1"/>
            </w14:solidFill>
          </w14:textFill>
        </w:rPr>
      </w:pPr>
      <w:r>
        <w:rPr>
          <w:rFonts w:hint="eastAsia" w:ascii="方正舒体" w:hAnsi="方正舒体" w:eastAsia="方正舒体" w:cs="Times New Roman"/>
          <w:b/>
          <w:bCs/>
          <w:color w:val="000000" w:themeColor="text1"/>
          <w14:textFill>
            <w14:solidFill>
              <w14:schemeClr w14:val="tx1"/>
            </w14:solidFill>
          </w14:textFill>
        </w:rPr>
        <w:t>【</w:t>
      </w:r>
      <w:r>
        <w:rPr>
          <w:rFonts w:cs="Times New Roman"/>
          <w:b/>
          <w:bCs/>
          <w:color w:val="000000" w:themeColor="text1"/>
          <w14:textFill>
            <w14:solidFill>
              <w14:schemeClr w14:val="tx1"/>
            </w14:solidFill>
          </w14:textFill>
        </w:rPr>
        <w:t>概况</w:t>
      </w:r>
      <w:r>
        <w:rPr>
          <w:rFonts w:hint="eastAsia" w:ascii="方正舒体" w:hAnsi="方正舒体" w:eastAsia="方正舒体" w:cs="Times New Roman"/>
          <w:b/>
          <w:bCs/>
          <w:color w:val="000000" w:themeColor="text1"/>
          <w14:textFill>
            <w14:solidFill>
              <w14:schemeClr w14:val="tx1"/>
            </w14:solidFill>
          </w14:textFill>
        </w:rPr>
        <w:t>】</w:t>
      </w:r>
    </w:p>
    <w:p>
      <w:pPr>
        <w:ind w:firstLine="429"/>
        <w:rPr>
          <w:color w:val="000000" w:themeColor="text1"/>
          <w14:textFill>
            <w14:solidFill>
              <w14:schemeClr w14:val="tx1"/>
            </w14:solidFill>
          </w14:textFill>
        </w:rPr>
      </w:pPr>
      <w:r>
        <w:rPr>
          <w:rFonts w:cs="Times New Roman"/>
          <w:color w:val="000000" w:themeColor="text1"/>
          <w14:textFill>
            <w14:solidFill>
              <w14:schemeClr w14:val="tx1"/>
            </w14:solidFill>
          </w14:textFill>
        </w:rPr>
        <w:t>白山素有</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立体资源宝库</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之称。境内森林覆盖率为78</w:t>
      </w:r>
      <w:r>
        <w:rPr>
          <w:rFonts w:hint="eastAsia" w:ascii="PMingLiU-ExtB" w:hAnsi="PMingLiU-ExtB" w:eastAsia="PMingLiU-ExtB"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。联合国</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人与生物圈</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长白山自然保护区有近60％的面积在白山市境内。是东北</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三宝</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人参、貂皮、鹿茸的故乡。野生动植物资源十分丰富。境内抚松县被命名为</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中国人参之乡</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，靖宇县被命名为</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中国西洋参之乡</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和</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中国长白山靖宇矿泉城</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，八道江区被命名为</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中国林蛙之乡</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，临江市被命名为</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中国高山红景天之乡</w:t>
      </w:r>
      <w:r>
        <w:rPr>
          <w:rFonts w:hint="eastAsia"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w:t>
      </w:r>
    </w:p>
    <w:p>
      <w:pPr>
        <w:ind w:firstLine="431"/>
        <w:rPr>
          <w:b/>
          <w:bCs/>
          <w:color w:val="000000" w:themeColor="text1"/>
          <w14:textFill>
            <w14:solidFill>
              <w14:schemeClr w14:val="tx1"/>
            </w14:solidFill>
          </w14:textFill>
        </w:rPr>
      </w:pPr>
      <w:r>
        <w:rPr>
          <w:rFonts w:hint="eastAsia" w:ascii="方正舒体" w:hAnsi="方正舒体" w:eastAsia="方正舒体" w:cs="Times New Roman"/>
          <w:b/>
          <w:bCs/>
          <w:color w:val="000000" w:themeColor="text1"/>
          <w14:textFill>
            <w14:solidFill>
              <w14:schemeClr w14:val="tx1"/>
            </w14:solidFill>
          </w14:textFill>
        </w:rPr>
        <w:t>【</w:t>
      </w:r>
      <w:r>
        <w:rPr>
          <w:rFonts w:cs="Times New Roman"/>
          <w:b/>
          <w:bCs/>
          <w:color w:val="000000" w:themeColor="text1"/>
          <w14:textFill>
            <w14:solidFill>
              <w14:schemeClr w14:val="tx1"/>
            </w14:solidFill>
          </w14:textFill>
        </w:rPr>
        <w:t>区划位置</w:t>
      </w:r>
      <w:r>
        <w:rPr>
          <w:rFonts w:hint="eastAsia" w:ascii="方正舒体" w:hAnsi="方正舒体" w:eastAsia="方正舒体" w:cs="Times New Roman"/>
          <w:b/>
          <w:bCs/>
          <w:color w:val="000000" w:themeColor="text1"/>
          <w14:textFill>
            <w14:solidFill>
              <w14:schemeClr w14:val="tx1"/>
            </w14:solidFill>
          </w14:textFill>
        </w:rPr>
        <w:t>】</w:t>
      </w:r>
    </w:p>
    <w:p>
      <w:pPr>
        <w:ind w:firstLine="429"/>
        <w:rPr>
          <w:color w:val="000000" w:themeColor="text1"/>
          <w:shd w:val="clear" w:color="auto" w:fill="FFFFFF"/>
          <w14:textFill>
            <w14:solidFill>
              <w14:schemeClr w14:val="tx1"/>
            </w14:solidFill>
          </w14:textFill>
        </w:rPr>
      </w:pPr>
      <w:r>
        <w:rPr>
          <w:rFonts w:cs="Times New Roman"/>
          <w:color w:val="000000" w:themeColor="text1"/>
          <w:szCs w:val="21"/>
          <w:shd w:val="clear" w:color="auto" w:fill="FFFFFF"/>
          <w14:textFill>
            <w14:solidFill>
              <w14:schemeClr w14:val="tx1"/>
            </w14:solidFill>
          </w14:textFill>
        </w:rPr>
        <w:t>白山市是吉林省下辖地级市，位于吉林省东南部，东与延边朝鲜族自治州相邻；西与通化市接壤；北与吉林市毗连；南与朝鲜人民民主共和国隔鸭绿江相望。 白山市是东北东部重要的节点城市和吉林省东南部重要的中心城市。</w:t>
      </w:r>
    </w:p>
    <w:p>
      <w:pPr>
        <w:ind w:firstLine="429"/>
        <w:rPr>
          <w:color w:val="000000" w:themeColor="text1"/>
          <w:shd w:val="clear" w:color="auto" w:fill="FFFFFF"/>
          <w14:textFill>
            <w14:solidFill>
              <w14:schemeClr w14:val="tx1"/>
            </w14:solidFill>
          </w14:textFill>
        </w:rPr>
      </w:pPr>
      <w:r>
        <w:rPr>
          <w:rFonts w:cs="Times New Roman"/>
          <w:color w:val="000000" w:themeColor="text1"/>
          <w:szCs w:val="21"/>
          <w:shd w:val="clear" w:color="auto" w:fill="FFFFFF"/>
          <w14:textFill>
            <w14:solidFill>
              <w14:schemeClr w14:val="tx1"/>
            </w14:solidFill>
          </w14:textFill>
        </w:rPr>
        <w:t>白山市辖2个市辖区、2个县、1个自治县，代管1个县级市。分别是：浑江区、江源区、靖宇县、抚松县、长白朝鲜族自治县、临江市。</w:t>
      </w:r>
    </w:p>
    <w:p>
      <w:pPr>
        <w:ind w:firstLine="431"/>
        <w:rPr>
          <w:b/>
          <w:bCs/>
          <w:color w:val="000000" w:themeColor="text1"/>
          <w14:textFill>
            <w14:solidFill>
              <w14:schemeClr w14:val="tx1"/>
            </w14:solidFill>
          </w14:textFill>
        </w:rPr>
      </w:pPr>
      <w:r>
        <w:rPr>
          <w:rFonts w:hint="eastAsia" w:ascii="方正舒体" w:hAnsi="方正舒体" w:eastAsia="方正舒体" w:cs="Times New Roman"/>
          <w:b/>
          <w:bCs/>
          <w:color w:val="000000" w:themeColor="text1"/>
          <w14:textFill>
            <w14:solidFill>
              <w14:schemeClr w14:val="tx1"/>
            </w14:solidFill>
          </w14:textFill>
        </w:rPr>
        <w:t>【</w:t>
      </w:r>
      <w:r>
        <w:rPr>
          <w:rFonts w:cs="Times New Roman"/>
          <w:b/>
          <w:bCs/>
          <w:color w:val="000000" w:themeColor="text1"/>
          <w14:textFill>
            <w14:solidFill>
              <w14:schemeClr w14:val="tx1"/>
            </w14:solidFill>
          </w14:textFill>
        </w:rPr>
        <w:t>生态环境</w:t>
      </w:r>
      <w:r>
        <w:rPr>
          <w:rFonts w:hint="eastAsia" w:ascii="方正舒体" w:hAnsi="方正舒体" w:eastAsia="方正舒体" w:cs="Times New Roman"/>
          <w:b/>
          <w:bCs/>
          <w:color w:val="000000" w:themeColor="text1"/>
          <w14:textFill>
            <w14:solidFill>
              <w14:schemeClr w14:val="tx1"/>
            </w14:solidFill>
          </w14:textFill>
        </w:rPr>
        <w:t>】</w:t>
      </w:r>
    </w:p>
    <w:p>
      <w:pPr>
        <w:ind w:firstLine="429"/>
        <w:rPr>
          <w:color w:val="000000" w:themeColor="text1"/>
          <w14:textFill>
            <w14:solidFill>
              <w14:schemeClr w14:val="tx1"/>
            </w14:solidFill>
          </w14:textFill>
        </w:rPr>
      </w:pPr>
      <w:r>
        <w:rPr>
          <w:rFonts w:cs="Times New Roman"/>
          <w:color w:val="000000" w:themeColor="text1"/>
          <w14:textFill>
            <w14:solidFill>
              <w14:schemeClr w14:val="tx1"/>
            </w14:solidFill>
          </w14:textFill>
        </w:rPr>
        <w:t>白山市地处长白山腹地，境内山峰林立，绵亘起伏，沟谷交错，河流纵横。长白熔岩台地和靖宇熔岩台地覆盖境内大部分地区，龙岗山脉和老岭山脉斜贯全境。鸭绿江沿岸地形起伏较大，沟谷切割较深，地势较险峻。</w:t>
      </w:r>
    </w:p>
    <w:p>
      <w:pPr>
        <w:ind w:firstLine="431"/>
        <w:rPr>
          <w:b/>
          <w:bCs/>
          <w:color w:val="000000" w:themeColor="text1"/>
          <w14:textFill>
            <w14:solidFill>
              <w14:schemeClr w14:val="tx1"/>
            </w14:solidFill>
          </w14:textFill>
        </w:rPr>
      </w:pPr>
      <w:r>
        <w:rPr>
          <w:rFonts w:hint="eastAsia" w:ascii="方正舒体" w:hAnsi="方正舒体" w:eastAsia="方正舒体" w:cs="Times New Roman"/>
          <w:b/>
          <w:bCs/>
          <w:color w:val="000000" w:themeColor="text1"/>
          <w14:textFill>
            <w14:solidFill>
              <w14:schemeClr w14:val="tx1"/>
            </w14:solidFill>
          </w14:textFill>
        </w:rPr>
        <w:t>【</w:t>
      </w:r>
      <w:r>
        <w:rPr>
          <w:rFonts w:cs="Times New Roman"/>
          <w:b/>
          <w:bCs/>
          <w:color w:val="000000" w:themeColor="text1"/>
          <w14:textFill>
            <w14:solidFill>
              <w14:schemeClr w14:val="tx1"/>
            </w14:solidFill>
          </w14:textFill>
        </w:rPr>
        <w:t>生态资源</w:t>
      </w:r>
      <w:r>
        <w:rPr>
          <w:rFonts w:hint="eastAsia" w:ascii="方正舒体" w:hAnsi="方正舒体" w:eastAsia="方正舒体" w:cs="Times New Roman"/>
          <w:b/>
          <w:bCs/>
          <w:color w:val="000000" w:themeColor="text1"/>
          <w14:textFill>
            <w14:solidFill>
              <w14:schemeClr w14:val="tx1"/>
            </w14:solidFill>
          </w14:textFill>
        </w:rPr>
        <w:t>】</w:t>
      </w:r>
    </w:p>
    <w:p>
      <w:pPr>
        <w:ind w:firstLine="429"/>
        <w:rPr>
          <w:color w:val="000000" w:themeColor="text1"/>
          <w:shd w:val="clear" w:color="auto" w:fill="FFFFFF"/>
          <w14:textFill>
            <w14:solidFill>
              <w14:schemeClr w14:val="tx1"/>
            </w14:solidFill>
          </w14:textFill>
        </w:rPr>
      </w:pPr>
      <w:r>
        <w:rPr>
          <w:rFonts w:cs="Times New Roman"/>
          <w:color w:val="000000" w:themeColor="text1"/>
          <w:szCs w:val="21"/>
          <w:shd w:val="clear" w:color="auto" w:fill="FFFFFF"/>
          <w14:textFill>
            <w14:solidFill>
              <w14:schemeClr w14:val="tx1"/>
            </w14:solidFill>
          </w14:textFill>
        </w:rPr>
        <w:t>白山市素有</w:t>
      </w:r>
      <w:r>
        <w:rPr>
          <w:rFonts w:hint="eastAsia" w:ascii="宋体" w:hAnsi="宋体" w:cs="Times New Roman"/>
          <w:color w:val="000000" w:themeColor="text1"/>
          <w:szCs w:val="21"/>
          <w:shd w:val="clear" w:color="auto" w:fill="FFFFFF"/>
          <w14:textFill>
            <w14:solidFill>
              <w14:schemeClr w14:val="tx1"/>
            </w14:solidFill>
          </w14:textFill>
        </w:rPr>
        <w:t>“</w:t>
      </w:r>
      <w:r>
        <w:rPr>
          <w:rFonts w:cs="Times New Roman"/>
          <w:color w:val="000000" w:themeColor="text1"/>
          <w:szCs w:val="21"/>
          <w:shd w:val="clear" w:color="auto" w:fill="FFFFFF"/>
          <w14:textFill>
            <w14:solidFill>
              <w14:schemeClr w14:val="tx1"/>
            </w14:solidFill>
          </w14:textFill>
        </w:rPr>
        <w:t>立体资源宝库</w:t>
      </w:r>
      <w:r>
        <w:rPr>
          <w:rFonts w:hint="eastAsia" w:ascii="宋体" w:hAnsi="宋体" w:cs="Times New Roman"/>
          <w:color w:val="000000" w:themeColor="text1"/>
          <w:szCs w:val="21"/>
          <w:shd w:val="clear" w:color="auto" w:fill="FFFFFF"/>
          <w14:textFill>
            <w14:solidFill>
              <w14:schemeClr w14:val="tx1"/>
            </w14:solidFill>
          </w14:textFill>
        </w:rPr>
        <w:t>”</w:t>
      </w:r>
      <w:r>
        <w:rPr>
          <w:rFonts w:cs="Times New Roman"/>
          <w:color w:val="000000" w:themeColor="text1"/>
          <w:szCs w:val="21"/>
          <w:shd w:val="clear" w:color="auto" w:fill="FFFFFF"/>
          <w14:textFill>
            <w14:solidFill>
              <w14:schemeClr w14:val="tx1"/>
            </w14:solidFill>
          </w14:textFill>
        </w:rPr>
        <w:t>、</w:t>
      </w:r>
      <w:r>
        <w:rPr>
          <w:rFonts w:hint="eastAsia" w:ascii="宋体" w:hAnsi="宋体" w:cs="Times New Roman"/>
          <w:color w:val="000000" w:themeColor="text1"/>
          <w:szCs w:val="21"/>
          <w:shd w:val="clear" w:color="auto" w:fill="FFFFFF"/>
          <w14:textFill>
            <w14:solidFill>
              <w14:schemeClr w14:val="tx1"/>
            </w14:solidFill>
          </w14:textFill>
        </w:rPr>
        <w:t>“</w:t>
      </w:r>
      <w:r>
        <w:rPr>
          <w:rFonts w:cs="Times New Roman"/>
          <w:color w:val="000000" w:themeColor="text1"/>
          <w:szCs w:val="21"/>
          <w:shd w:val="clear" w:color="auto" w:fill="FFFFFF"/>
          <w14:textFill>
            <w14:solidFill>
              <w14:schemeClr w14:val="tx1"/>
            </w14:solidFill>
          </w14:textFill>
        </w:rPr>
        <w:t>长白林海</w:t>
      </w:r>
      <w:r>
        <w:rPr>
          <w:rFonts w:hint="eastAsia" w:ascii="宋体" w:hAnsi="宋体" w:cs="Times New Roman"/>
          <w:color w:val="000000" w:themeColor="text1"/>
          <w:szCs w:val="21"/>
          <w:shd w:val="clear" w:color="auto" w:fill="FFFFFF"/>
          <w14:textFill>
            <w14:solidFill>
              <w14:schemeClr w14:val="tx1"/>
            </w14:solidFill>
          </w14:textFill>
        </w:rPr>
        <w:t>”</w:t>
      </w:r>
      <w:r>
        <w:rPr>
          <w:rFonts w:cs="Times New Roman"/>
          <w:color w:val="000000" w:themeColor="text1"/>
          <w:szCs w:val="21"/>
          <w:shd w:val="clear" w:color="auto" w:fill="FFFFFF"/>
          <w14:textFill>
            <w14:solidFill>
              <w14:schemeClr w14:val="tx1"/>
            </w14:solidFill>
          </w14:textFill>
        </w:rPr>
        <w:t>、</w:t>
      </w:r>
      <w:r>
        <w:rPr>
          <w:rFonts w:hint="eastAsia" w:ascii="宋体" w:hAnsi="宋体" w:cs="Times New Roman"/>
          <w:color w:val="000000" w:themeColor="text1"/>
          <w:szCs w:val="21"/>
          <w:shd w:val="clear" w:color="auto" w:fill="FFFFFF"/>
          <w14:textFill>
            <w14:solidFill>
              <w14:schemeClr w14:val="tx1"/>
            </w14:solidFill>
          </w14:textFill>
        </w:rPr>
        <w:t>“</w:t>
      </w:r>
      <w:r>
        <w:rPr>
          <w:rFonts w:cs="Times New Roman"/>
          <w:color w:val="000000" w:themeColor="text1"/>
          <w:szCs w:val="21"/>
          <w:shd w:val="clear" w:color="auto" w:fill="FFFFFF"/>
          <w14:textFill>
            <w14:solidFill>
              <w14:schemeClr w14:val="tx1"/>
            </w14:solidFill>
          </w14:textFill>
        </w:rPr>
        <w:t>人参之乡</w:t>
      </w:r>
      <w:r>
        <w:rPr>
          <w:rFonts w:hint="eastAsia" w:ascii="宋体" w:hAnsi="宋体" w:cs="Times New Roman"/>
          <w:color w:val="000000" w:themeColor="text1"/>
          <w:szCs w:val="21"/>
          <w:shd w:val="clear" w:color="auto" w:fill="FFFFFF"/>
          <w14:textFill>
            <w14:solidFill>
              <w14:schemeClr w14:val="tx1"/>
            </w14:solidFill>
          </w14:textFill>
        </w:rPr>
        <w:t>”</w:t>
      </w:r>
      <w:r>
        <w:rPr>
          <w:rFonts w:cs="Times New Roman"/>
          <w:color w:val="000000" w:themeColor="text1"/>
          <w:szCs w:val="21"/>
          <w:shd w:val="clear" w:color="auto" w:fill="FFFFFF"/>
          <w14:textFill>
            <w14:solidFill>
              <w14:schemeClr w14:val="tx1"/>
            </w14:solidFill>
          </w14:textFill>
        </w:rPr>
        <w:t>之美称。肥沃的土地、丰富的森林、矿产、山珍土特产和旅游资源给白山带来了广阔的开发前景。全市有林地面积14761平方公里，境内森林覆盖率达83％，人均森林蓄积量167立方米，相当于全国人均森林蓄积量的19倍，是中国的主要木材产区之一。联合国</w:t>
      </w:r>
      <w:r>
        <w:rPr>
          <w:rFonts w:hint="eastAsia" w:ascii="宋体" w:hAnsi="宋体" w:cs="Times New Roman"/>
          <w:color w:val="000000" w:themeColor="text1"/>
          <w:szCs w:val="21"/>
          <w:shd w:val="clear" w:color="auto" w:fill="FFFFFF"/>
          <w14:textFill>
            <w14:solidFill>
              <w14:schemeClr w14:val="tx1"/>
            </w14:solidFill>
          </w14:textFill>
        </w:rPr>
        <w:t>“</w:t>
      </w:r>
      <w:r>
        <w:rPr>
          <w:rFonts w:cs="Times New Roman"/>
          <w:color w:val="000000" w:themeColor="text1"/>
          <w:szCs w:val="21"/>
          <w:shd w:val="clear" w:color="auto" w:fill="FFFFFF"/>
          <w14:textFill>
            <w14:solidFill>
              <w14:schemeClr w14:val="tx1"/>
            </w14:solidFill>
          </w14:textFill>
        </w:rPr>
        <w:t>人与生物圈</w:t>
      </w:r>
      <w:r>
        <w:rPr>
          <w:rFonts w:hint="eastAsia" w:ascii="宋体" w:hAnsi="宋体" w:cs="Times New Roman"/>
          <w:color w:val="000000" w:themeColor="text1"/>
          <w:szCs w:val="21"/>
          <w:shd w:val="clear" w:color="auto" w:fill="FFFFFF"/>
          <w14:textFill>
            <w14:solidFill>
              <w14:schemeClr w14:val="tx1"/>
            </w14:solidFill>
          </w14:textFill>
        </w:rPr>
        <w:t>”</w:t>
      </w:r>
      <w:r>
        <w:rPr>
          <w:rFonts w:cs="Times New Roman"/>
          <w:color w:val="000000" w:themeColor="text1"/>
          <w:szCs w:val="21"/>
          <w:shd w:val="clear" w:color="auto" w:fill="FFFFFF"/>
          <w14:textFill>
            <w14:solidFill>
              <w14:schemeClr w14:val="tx1"/>
            </w14:solidFill>
          </w14:textFill>
        </w:rPr>
        <w:t>长白山自然保护区有60％的面积在白山市。古老茂密的原始森林为野生动植物提供了优越的繁衍生息的条件，是东北</w:t>
      </w:r>
      <w:r>
        <w:rPr>
          <w:rFonts w:hint="eastAsia" w:ascii="宋体" w:hAnsi="宋体" w:cs="Times New Roman"/>
          <w:color w:val="000000" w:themeColor="text1"/>
          <w:szCs w:val="21"/>
          <w:shd w:val="clear" w:color="auto" w:fill="FFFFFF"/>
          <w14:textFill>
            <w14:solidFill>
              <w14:schemeClr w14:val="tx1"/>
            </w14:solidFill>
          </w14:textFill>
        </w:rPr>
        <w:t>“</w:t>
      </w:r>
      <w:r>
        <w:rPr>
          <w:rFonts w:cs="Times New Roman"/>
          <w:color w:val="000000" w:themeColor="text1"/>
          <w:szCs w:val="21"/>
          <w:shd w:val="clear" w:color="auto" w:fill="FFFFFF"/>
          <w14:textFill>
            <w14:solidFill>
              <w14:schemeClr w14:val="tx1"/>
            </w14:solidFill>
          </w14:textFill>
        </w:rPr>
        <w:t>三宝</w:t>
      </w:r>
      <w:r>
        <w:rPr>
          <w:rFonts w:hint="eastAsia" w:ascii="宋体" w:hAnsi="宋体" w:cs="Times New Roman"/>
          <w:color w:val="000000" w:themeColor="text1"/>
          <w:szCs w:val="21"/>
          <w:shd w:val="clear" w:color="auto" w:fill="FFFFFF"/>
          <w14:textFill>
            <w14:solidFill>
              <w14:schemeClr w14:val="tx1"/>
            </w14:solidFill>
          </w14:textFill>
        </w:rPr>
        <w:t>”</w:t>
      </w:r>
      <w:r>
        <w:rPr>
          <w:rFonts w:cs="Times New Roman"/>
          <w:color w:val="000000" w:themeColor="text1"/>
          <w:szCs w:val="21"/>
          <w:shd w:val="clear" w:color="auto" w:fill="FFFFFF"/>
          <w14:textFill>
            <w14:solidFill>
              <w14:schemeClr w14:val="tx1"/>
            </w14:solidFill>
          </w14:textFill>
        </w:rPr>
        <w:t>──人参、貂皮、鹿茸角的故乡。</w:t>
      </w:r>
    </w:p>
    <w:p>
      <w:pPr>
        <w:ind w:firstLine="431"/>
        <w:rPr>
          <w:b/>
          <w:bCs/>
          <w:color w:val="000000" w:themeColor="text1"/>
          <w14:textFill>
            <w14:solidFill>
              <w14:schemeClr w14:val="tx1"/>
            </w14:solidFill>
          </w14:textFill>
        </w:rPr>
      </w:pPr>
      <w:r>
        <w:rPr>
          <w:rFonts w:hint="eastAsia" w:ascii="方正舒体" w:hAnsi="方正舒体" w:eastAsia="方正舒体" w:cs="Times New Roman"/>
          <w:b/>
          <w:bCs/>
          <w:color w:val="000000" w:themeColor="text1"/>
          <w14:textFill>
            <w14:solidFill>
              <w14:schemeClr w14:val="tx1"/>
            </w14:solidFill>
          </w14:textFill>
        </w:rPr>
        <w:t>【</w:t>
      </w:r>
      <w:r>
        <w:rPr>
          <w:rFonts w:cs="Times New Roman"/>
          <w:b/>
          <w:bCs/>
          <w:color w:val="000000" w:themeColor="text1"/>
          <w14:textFill>
            <w14:solidFill>
              <w14:schemeClr w14:val="tx1"/>
            </w14:solidFill>
          </w14:textFill>
        </w:rPr>
        <w:t>国家级自然保护区</w:t>
      </w:r>
      <w:r>
        <w:rPr>
          <w:rFonts w:hint="eastAsia" w:ascii="方正舒体" w:hAnsi="方正舒体" w:eastAsia="方正舒体" w:cs="Times New Roman"/>
          <w:b/>
          <w:bCs/>
          <w:color w:val="000000" w:themeColor="text1"/>
          <w14:textFill>
            <w14:solidFill>
              <w14:schemeClr w14:val="tx1"/>
            </w14:solidFill>
          </w14:textFill>
        </w:rPr>
        <w:t>】</w:t>
      </w:r>
    </w:p>
    <w:p>
      <w:pPr>
        <w:pStyle w:val="7"/>
        <w:spacing w:before="0" w:beforeAutospacing="0" w:after="0" w:afterAutospacing="0"/>
        <w:ind w:firstLine="431"/>
        <w:jc w:val="both"/>
        <w:rPr>
          <w:color w:val="000000" w:themeColor="text1"/>
          <w:sz w:val="21"/>
          <w:szCs w:val="21"/>
          <w:shd w:val="clear" w:color="auto" w:fill="FFFFFF"/>
          <w14:textFill>
            <w14:solidFill>
              <w14:schemeClr w14:val="tx1"/>
            </w14:solidFill>
          </w14:textFill>
        </w:rPr>
      </w:pPr>
      <w:r>
        <w:rPr>
          <w:rFonts w:cs="Times New Roman"/>
          <w:b/>
          <w:bCs/>
          <w:color w:val="000000" w:themeColor="text1"/>
          <w:sz w:val="21"/>
          <w:szCs w:val="21"/>
          <w:shd w:val="clear" w:color="auto" w:fill="FFFFFF"/>
          <w14:textFill>
            <w14:solidFill>
              <w14:schemeClr w14:val="tx1"/>
            </w14:solidFill>
          </w14:textFill>
        </w:rPr>
        <w:t>鸭绿江上游国家级自然保护区</w:t>
      </w:r>
    </w:p>
    <w:p>
      <w:pPr>
        <w:pStyle w:val="7"/>
        <w:spacing w:before="0" w:beforeAutospacing="0" w:after="0" w:afterAutospacing="0"/>
        <w:ind w:firstLine="431"/>
        <w:jc w:val="both"/>
        <w:rPr>
          <w:color w:val="000000" w:themeColor="text1"/>
          <w:sz w:val="21"/>
          <w:szCs w:val="21"/>
          <w:shd w:val="clear" w:color="auto" w:fill="FFFFFF"/>
          <w14:textFill>
            <w14:solidFill>
              <w14:schemeClr w14:val="tx1"/>
            </w14:solidFill>
          </w14:textFill>
        </w:rPr>
      </w:pPr>
      <w:r>
        <w:rPr>
          <w:rFonts w:cs="Times New Roman"/>
          <w:b/>
          <w:bCs/>
          <w:color w:val="000000" w:themeColor="text1"/>
          <w:sz w:val="21"/>
          <w:szCs w:val="21"/>
          <w:shd w:val="clear" w:color="auto" w:fill="FFFFFF"/>
          <w14:textFill>
            <w14:solidFill>
              <w14:schemeClr w14:val="tx1"/>
            </w14:solidFill>
          </w14:textFill>
        </w:rPr>
        <w:t>白山原麝国家级自然保护区</w:t>
      </w:r>
    </w:p>
    <w:p>
      <w:pPr>
        <w:pStyle w:val="7"/>
        <w:spacing w:before="0" w:beforeAutospacing="0" w:after="0" w:afterAutospacing="0"/>
        <w:ind w:firstLine="431"/>
        <w:jc w:val="both"/>
        <w:rPr>
          <w:b/>
          <w:bCs/>
          <w:color w:val="000000" w:themeColor="text1"/>
          <w:sz w:val="21"/>
          <w:szCs w:val="21"/>
          <w:shd w:val="clear" w:color="auto" w:fill="FFFFFF"/>
          <w14:textFill>
            <w14:solidFill>
              <w14:schemeClr w14:val="tx1"/>
            </w14:solidFill>
          </w14:textFill>
        </w:rPr>
      </w:pPr>
      <w:r>
        <w:rPr>
          <w:rFonts w:cs="Times New Roman"/>
          <w:b/>
          <w:bCs/>
          <w:color w:val="000000" w:themeColor="text1"/>
          <w:sz w:val="21"/>
          <w:szCs w:val="21"/>
          <w:shd w:val="clear" w:color="auto" w:fill="FFFFFF"/>
          <w14:textFill>
            <w14:solidFill>
              <w14:schemeClr w14:val="tx1"/>
            </w14:solidFill>
          </w14:textFill>
        </w:rPr>
        <w:t>头道松花江上游国家级自然保护区</w:t>
      </w:r>
    </w:p>
    <w:p>
      <w:pPr>
        <w:pStyle w:val="3"/>
        <w:spacing w:before="314" w:after="314"/>
      </w:pPr>
      <w:bookmarkStart w:id="2" w:name="_Toc32629"/>
      <w:r>
        <w:t>考点</w:t>
      </w:r>
      <w:r>
        <w:rPr>
          <w:rFonts w:hint="eastAsia"/>
        </w:rPr>
        <w:t>五</w:t>
      </w:r>
      <w:r>
        <w:t>：时政精华</w:t>
      </w:r>
      <w:bookmarkEnd w:id="2"/>
    </w:p>
    <w:p>
      <w:pPr>
        <w:ind w:firstLine="429"/>
        <w:rPr>
          <w:rFonts w:cs="Times New Roman"/>
        </w:rPr>
      </w:pPr>
      <w:r>
        <w:rPr>
          <w:rFonts w:cs="Times New Roman"/>
        </w:rPr>
        <w:t>1</w:t>
      </w:r>
      <w:r>
        <w:rPr>
          <w:rFonts w:hint="eastAsia" w:ascii="宋体" w:hAnsi="宋体" w:cs="Times New Roman"/>
        </w:rPr>
        <w:t>.</w:t>
      </w:r>
      <w:r>
        <w:rPr>
          <w:rFonts w:cs="Times New Roman"/>
        </w:rPr>
        <w:t>《保障农民工工资支付条例》正式明确了工资支付的主体责任、主体责任，特别是</w:t>
      </w:r>
      <w:r>
        <w:rPr>
          <w:rFonts w:cs="Times New Roman"/>
          <w:b/>
          <w:bCs/>
        </w:rPr>
        <w:t>建设单位应担的责任</w:t>
      </w:r>
      <w:r>
        <w:rPr>
          <w:rFonts w:cs="Times New Roman"/>
        </w:rPr>
        <w:t>。从环节上讲，则是从</w:t>
      </w:r>
      <w:r>
        <w:rPr>
          <w:rFonts w:cs="Times New Roman"/>
          <w:b/>
          <w:bCs/>
        </w:rPr>
        <w:t>源头、中游、终端</w:t>
      </w:r>
      <w:r>
        <w:rPr>
          <w:rFonts w:cs="Times New Roman"/>
        </w:rPr>
        <w:t>三个层面全面打击欠薪问题。拒不支付劳动报酬数额较大的，经有关部门责令支付仍不支付的，一般处</w:t>
      </w:r>
      <w:r>
        <w:rPr>
          <w:rFonts w:cs="Times New Roman"/>
          <w:b/>
          <w:bCs/>
        </w:rPr>
        <w:t>三年以下</w:t>
      </w:r>
      <w:r>
        <w:rPr>
          <w:rFonts w:cs="Times New Roman"/>
        </w:rPr>
        <w:t>有期徒刑或者拘役，并处罚金；如果满足前面的条件，同时造成严重后果的，判处</w:t>
      </w:r>
      <w:r>
        <w:rPr>
          <w:rFonts w:cs="Times New Roman"/>
          <w:b/>
          <w:bCs/>
        </w:rPr>
        <w:t>三年以上七年</w:t>
      </w:r>
      <w:r>
        <w:rPr>
          <w:rFonts w:cs="Times New Roman"/>
        </w:rPr>
        <w:t>以下有期徒刑。</w:t>
      </w:r>
    </w:p>
    <w:p>
      <w:pPr>
        <w:ind w:firstLine="429"/>
        <w:rPr>
          <w:rFonts w:cs="Times New Roman"/>
        </w:rPr>
      </w:pPr>
      <w:r>
        <w:rPr>
          <w:rFonts w:cs="Times New Roman"/>
        </w:rPr>
        <w:t>2</w:t>
      </w:r>
      <w:r>
        <w:rPr>
          <w:rFonts w:hint="eastAsia" w:ascii="宋体" w:hAnsi="宋体" w:cs="Times New Roman"/>
        </w:rPr>
        <w:t>.</w:t>
      </w:r>
      <w:r>
        <w:rPr>
          <w:rFonts w:cs="Times New Roman"/>
        </w:rPr>
        <w:t>《关于新时代推进西部大开发形成新格局的指导意见》，到</w:t>
      </w:r>
      <w:r>
        <w:rPr>
          <w:rFonts w:cs="Times New Roman"/>
          <w:b/>
          <w:bCs/>
        </w:rPr>
        <w:t>2020年西部地区</w:t>
      </w:r>
      <w:r>
        <w:rPr>
          <w:rFonts w:cs="Times New Roman"/>
        </w:rPr>
        <w:t>生态环境、营商环境、开放环境、创新环境明显改善，与全国一道全面建成小康社会；到</w:t>
      </w:r>
      <w:r>
        <w:rPr>
          <w:rFonts w:cs="Times New Roman"/>
          <w:b/>
          <w:bCs/>
        </w:rPr>
        <w:t>2035年，西部地区基本实现社会主义现代化</w:t>
      </w:r>
      <w:r>
        <w:rPr>
          <w:rFonts w:cs="Times New Roman"/>
        </w:rPr>
        <w:t>，基本公共服务、基础设施通达程度、人民生活水平与东部地区大体相当。加快构建以居家为基础、社区为依托、机构为补充、医养相结合的养老服务体系。</w:t>
      </w:r>
    </w:p>
    <w:p>
      <w:pPr>
        <w:ind w:firstLine="429"/>
        <w:rPr>
          <w:rFonts w:cs="Times New Roman"/>
        </w:rPr>
      </w:pPr>
      <w:r>
        <w:rPr>
          <w:rFonts w:cs="Times New Roman"/>
        </w:rPr>
        <w:t>3</w:t>
      </w:r>
      <w:r>
        <w:rPr>
          <w:rFonts w:hint="eastAsia" w:ascii="宋体" w:hAnsi="宋体" w:cs="Times New Roman"/>
        </w:rPr>
        <w:t>.</w:t>
      </w:r>
      <w:r>
        <w:rPr>
          <w:rFonts w:cs="Times New Roman"/>
        </w:rPr>
        <w:t>国家主席习近平5月28日签署了</w:t>
      </w:r>
      <w:r>
        <w:rPr>
          <w:rFonts w:cs="Times New Roman"/>
          <w:b/>
          <w:bCs/>
        </w:rPr>
        <w:t>第四十五号</w:t>
      </w:r>
      <w:r>
        <w:rPr>
          <w:rFonts w:cs="Times New Roman"/>
        </w:rPr>
        <w:t>主席令。第四十五号主席令说，《中华人民共和国民法典》已由中华人民共和国第十三届全国人民代表大会第三次会议于2020年5月28日通过，现予公布，自2021年1月1日起施行。法律，治国之重器；良法，善治之前提。</w:t>
      </w:r>
    </w:p>
    <w:p>
      <w:pPr>
        <w:ind w:firstLine="429"/>
        <w:rPr>
          <w:rFonts w:cs="Times New Roman"/>
        </w:rPr>
      </w:pPr>
      <w:r>
        <w:rPr>
          <w:rFonts w:cs="Times New Roman"/>
        </w:rPr>
        <w:t>4</w:t>
      </w:r>
      <w:r>
        <w:rPr>
          <w:rFonts w:hint="eastAsia" w:ascii="宋体" w:hAnsi="宋体" w:cs="Times New Roman"/>
        </w:rPr>
        <w:t>.</w:t>
      </w:r>
      <w:r>
        <w:rPr>
          <w:rFonts w:cs="Times New Roman"/>
        </w:rPr>
        <w:t>《海南自由贸易港建设总体方案》，</w:t>
      </w:r>
      <w:r>
        <w:rPr>
          <w:rFonts w:cs="Times New Roman"/>
          <w:b/>
          <w:bCs/>
        </w:rPr>
        <w:t>海南是我国最大的经济特区</w:t>
      </w:r>
      <w:r>
        <w:rPr>
          <w:rFonts w:hint="eastAsia" w:ascii="方正舒体" w:hAnsi="方正舒体" w:eastAsia="方正舒体" w:cs="Times New Roman"/>
        </w:rPr>
        <w:t>【</w:t>
      </w:r>
      <w:r>
        <w:rPr>
          <w:rFonts w:cs="Times New Roman"/>
        </w:rPr>
        <w:t>1979年4月邓小平首次提出要开办</w:t>
      </w:r>
      <w:r>
        <w:rPr>
          <w:rFonts w:hint="eastAsia" w:ascii="宋体" w:hAnsi="宋体" w:cs="Times New Roman"/>
        </w:rPr>
        <w:t>“</w:t>
      </w:r>
      <w:r>
        <w:rPr>
          <w:rFonts w:cs="Times New Roman"/>
        </w:rPr>
        <w:t>出口特区</w:t>
      </w:r>
      <w:r>
        <w:rPr>
          <w:rFonts w:hint="eastAsia" w:ascii="宋体" w:hAnsi="宋体" w:cs="Times New Roman"/>
        </w:rPr>
        <w:t>”</w:t>
      </w:r>
      <w:r>
        <w:rPr>
          <w:rFonts w:cs="Times New Roman"/>
        </w:rPr>
        <w:t>，后于1980年3月，</w:t>
      </w:r>
      <w:r>
        <w:rPr>
          <w:rFonts w:hint="eastAsia" w:ascii="宋体" w:hAnsi="宋体" w:cs="Times New Roman"/>
        </w:rPr>
        <w:t>“</w:t>
      </w:r>
      <w:r>
        <w:rPr>
          <w:rFonts w:cs="Times New Roman"/>
        </w:rPr>
        <w:t>出口特区</w:t>
      </w:r>
      <w:r>
        <w:rPr>
          <w:rFonts w:hint="eastAsia" w:ascii="宋体" w:hAnsi="宋体" w:cs="Times New Roman"/>
        </w:rPr>
        <w:t>”</w:t>
      </w:r>
      <w:r>
        <w:rPr>
          <w:rFonts w:cs="Times New Roman"/>
        </w:rPr>
        <w:t>改名为</w:t>
      </w:r>
      <w:r>
        <w:rPr>
          <w:rFonts w:hint="eastAsia" w:ascii="宋体" w:hAnsi="宋体" w:cs="Times New Roman"/>
        </w:rPr>
        <w:t>“</w:t>
      </w:r>
      <w:r>
        <w:rPr>
          <w:rFonts w:cs="Times New Roman"/>
        </w:rPr>
        <w:t>经济特区</w:t>
      </w:r>
      <w:r>
        <w:rPr>
          <w:rFonts w:hint="eastAsia" w:ascii="宋体" w:hAnsi="宋体" w:cs="Times New Roman"/>
        </w:rPr>
        <w:t>”</w:t>
      </w:r>
      <w:r>
        <w:rPr>
          <w:rFonts w:cs="Times New Roman"/>
        </w:rPr>
        <w:t>，并在深圳加以实施。我国目前的经济特区包括：深圳、珠海、厦门、汕头、海南、霍尔果斯、喀什</w:t>
      </w:r>
      <w:r>
        <w:rPr>
          <w:rFonts w:hint="eastAsia" w:ascii="方正舒体" w:hAnsi="方正舒体" w:eastAsia="方正舒体" w:cs="Times New Roman"/>
        </w:rPr>
        <w:t>】</w:t>
      </w:r>
    </w:p>
    <w:p>
      <w:pPr>
        <w:ind w:firstLine="429"/>
        <w:rPr>
          <w:rFonts w:cs="Times New Roman"/>
        </w:rPr>
      </w:pPr>
      <w:r>
        <w:rPr>
          <w:rFonts w:cs="Times New Roman"/>
        </w:rPr>
        <w:t>5</w:t>
      </w:r>
      <w:r>
        <w:rPr>
          <w:rFonts w:hint="eastAsia" w:ascii="宋体" w:hAnsi="宋体" w:cs="Times New Roman"/>
        </w:rPr>
        <w:t>.</w:t>
      </w:r>
      <w:r>
        <w:rPr>
          <w:rFonts w:cs="Times New Roman"/>
        </w:rPr>
        <w:t>2020年7月2日，国家药品监督管理局、国家卫生健康委发布公告，正式颁布2020年版《中华人民共和国药典》。新版《中国药典》将于2020年12月30日起正式实施。</w:t>
      </w:r>
    </w:p>
    <w:p>
      <w:pPr>
        <w:ind w:firstLine="429"/>
        <w:rPr>
          <w:rFonts w:cs="Times New Roman"/>
        </w:rPr>
      </w:pPr>
      <w:r>
        <w:rPr>
          <w:rFonts w:cs="Times New Roman"/>
        </w:rPr>
        <w:t>6</w:t>
      </w:r>
      <w:r>
        <w:rPr>
          <w:rFonts w:hint="eastAsia" w:ascii="宋体" w:hAnsi="宋体" w:cs="Times New Roman"/>
        </w:rPr>
        <w:t>.</w:t>
      </w:r>
      <w:r>
        <w:rPr>
          <w:rFonts w:cs="Times New Roman"/>
        </w:rPr>
        <w:t>农业农村部、财政部联合印发《东北黑土地保护性耕作行动计划</w:t>
      </w:r>
      <w:r>
        <w:rPr>
          <w:rFonts w:hint="eastAsia" w:ascii="方正舒体" w:hAnsi="方正舒体" w:eastAsia="方正舒体" w:cs="Times New Roman"/>
        </w:rPr>
        <w:t>（</w:t>
      </w:r>
      <w:r>
        <w:rPr>
          <w:rFonts w:cs="Times New Roman"/>
        </w:rPr>
        <w:t>2020</w:t>
      </w:r>
      <w:r>
        <w:rPr>
          <w:rFonts w:hint="eastAsia" w:ascii="宋体" w:hAnsi="宋体" w:cs="Times New Roman"/>
        </w:rPr>
        <w:t>—</w:t>
      </w:r>
      <w:r>
        <w:rPr>
          <w:rFonts w:cs="Times New Roman"/>
        </w:rPr>
        <w:t>2025年</w:t>
      </w:r>
      <w:r>
        <w:rPr>
          <w:rFonts w:hint="eastAsia" w:ascii="方正舒体" w:hAnsi="方正舒体" w:eastAsia="方正舒体" w:cs="Times New Roman"/>
        </w:rPr>
        <w:t>）</w:t>
      </w:r>
      <w:r>
        <w:rPr>
          <w:rFonts w:cs="Times New Roman"/>
        </w:rPr>
        <w:t>》，力争到</w:t>
      </w:r>
      <w:r>
        <w:rPr>
          <w:rFonts w:cs="Times New Roman"/>
          <w:b/>
          <w:bCs/>
        </w:rPr>
        <w:t>2025年</w:t>
      </w:r>
      <w:r>
        <w:rPr>
          <w:rFonts w:cs="Times New Roman"/>
        </w:rPr>
        <w:t>，保护性耕作实施面积达到1</w:t>
      </w:r>
      <w:r>
        <w:rPr>
          <w:rFonts w:hint="eastAsia" w:ascii="宋体" w:hAnsi="宋体" w:cs="Times New Roman"/>
        </w:rPr>
        <w:t>.</w:t>
      </w:r>
      <w:r>
        <w:rPr>
          <w:rFonts w:cs="Times New Roman"/>
        </w:rPr>
        <w:t>4亿亩。</w:t>
      </w:r>
    </w:p>
    <w:p>
      <w:pPr>
        <w:ind w:firstLine="429"/>
        <w:rPr>
          <w:rFonts w:cs="Times New Roman"/>
        </w:rPr>
      </w:pPr>
      <w:r>
        <w:rPr>
          <w:rFonts w:cs="Times New Roman"/>
        </w:rPr>
        <w:t>7</w:t>
      </w:r>
      <w:r>
        <w:rPr>
          <w:rFonts w:hint="eastAsia" w:ascii="宋体" w:hAnsi="宋体" w:cs="Times New Roman"/>
        </w:rPr>
        <w:t>.</w:t>
      </w:r>
      <w:r>
        <w:rPr>
          <w:rFonts w:hint="eastAsia" w:ascii="方正舒体" w:hAnsi="方正舒体" w:eastAsia="方正舒体" w:cs="Times New Roman"/>
        </w:rPr>
        <w:t>（</w:t>
      </w:r>
      <w:r>
        <w:rPr>
          <w:rFonts w:cs="Times New Roman"/>
        </w:rPr>
        <w:t>5月7日</w:t>
      </w:r>
      <w:r>
        <w:rPr>
          <w:rFonts w:hint="eastAsia" w:ascii="方正舒体" w:hAnsi="方正舒体" w:eastAsia="方正舒体" w:cs="Times New Roman"/>
        </w:rPr>
        <w:t>）</w:t>
      </w:r>
      <w:r>
        <w:rPr>
          <w:rFonts w:cs="Times New Roman"/>
        </w:rPr>
        <w:t>，公安部部署开展</w:t>
      </w:r>
      <w:r>
        <w:rPr>
          <w:rFonts w:hint="eastAsia" w:ascii="宋体" w:hAnsi="宋体" w:cs="Times New Roman"/>
          <w:b/>
          <w:bCs/>
        </w:rPr>
        <w:t>“</w:t>
      </w:r>
      <w:r>
        <w:rPr>
          <w:rFonts w:cs="Times New Roman"/>
          <w:b/>
          <w:bCs/>
        </w:rPr>
        <w:t>云剑-2020</w:t>
      </w:r>
      <w:r>
        <w:rPr>
          <w:rFonts w:hint="eastAsia" w:ascii="宋体" w:hAnsi="宋体" w:cs="Times New Roman"/>
          <w:b/>
          <w:bCs/>
        </w:rPr>
        <w:t>”</w:t>
      </w:r>
      <w:r>
        <w:rPr>
          <w:rFonts w:cs="Times New Roman"/>
        </w:rPr>
        <w:t>打击贷款类电信网络诈骗犯罪行动。</w:t>
      </w:r>
    </w:p>
    <w:p>
      <w:pPr>
        <w:ind w:firstLine="429"/>
        <w:rPr>
          <w:rFonts w:cs="Times New Roman"/>
        </w:rPr>
      </w:pPr>
      <w:r>
        <w:rPr>
          <w:rFonts w:cs="Times New Roman"/>
        </w:rPr>
        <w:t>8</w:t>
      </w:r>
      <w:r>
        <w:rPr>
          <w:rFonts w:hint="eastAsia" w:ascii="宋体" w:hAnsi="宋体" w:cs="Times New Roman"/>
        </w:rPr>
        <w:t>.</w:t>
      </w:r>
      <w:r>
        <w:rPr>
          <w:rFonts w:cs="Times New Roman"/>
        </w:rPr>
        <w:t>联合国教科文组织授予</w:t>
      </w:r>
      <w:r>
        <w:rPr>
          <w:rFonts w:cs="Times New Roman"/>
          <w:b/>
          <w:bCs/>
        </w:rPr>
        <w:t>扬州</w:t>
      </w:r>
      <w:r>
        <w:rPr>
          <w:rFonts w:hint="eastAsia" w:ascii="宋体" w:hAnsi="宋体" w:cs="Times New Roman"/>
          <w:b/>
          <w:bCs/>
        </w:rPr>
        <w:t>“</w:t>
      </w:r>
      <w:r>
        <w:rPr>
          <w:rFonts w:cs="Times New Roman"/>
          <w:b/>
          <w:bCs/>
        </w:rPr>
        <w:t>世界美食之都</w:t>
      </w:r>
      <w:r>
        <w:rPr>
          <w:rFonts w:hint="eastAsia" w:ascii="宋体" w:hAnsi="宋体" w:cs="Times New Roman"/>
          <w:b/>
          <w:bCs/>
        </w:rPr>
        <w:t>”</w:t>
      </w:r>
      <w:r>
        <w:rPr>
          <w:rFonts w:cs="Times New Roman"/>
        </w:rPr>
        <w:t>，4月18日，江苏扬州举行了</w:t>
      </w:r>
      <w:r>
        <w:rPr>
          <w:rFonts w:hint="eastAsia" w:ascii="宋体" w:hAnsi="宋体" w:cs="Times New Roman"/>
        </w:rPr>
        <w:t>“</w:t>
      </w:r>
      <w:r>
        <w:rPr>
          <w:rFonts w:cs="Times New Roman"/>
        </w:rPr>
        <w:t>世界美食之都</w:t>
      </w:r>
      <w:r>
        <w:rPr>
          <w:rFonts w:hint="eastAsia" w:ascii="宋体" w:hAnsi="宋体" w:cs="Times New Roman"/>
        </w:rPr>
        <w:t>”</w:t>
      </w:r>
      <w:r>
        <w:rPr>
          <w:rFonts w:cs="Times New Roman"/>
        </w:rPr>
        <w:t>的揭牌仪式，这一称号由联合国教科文组织授予。目前，全球仅有8座城市入选，扬州是国内</w:t>
      </w:r>
      <w:r>
        <w:rPr>
          <w:rFonts w:cs="Times New Roman"/>
          <w:b/>
          <w:bCs/>
        </w:rPr>
        <w:t>第四座</w:t>
      </w:r>
      <w:r>
        <w:rPr>
          <w:rFonts w:cs="Times New Roman"/>
        </w:rPr>
        <w:t>入选的城市。</w:t>
      </w:r>
    </w:p>
    <w:p>
      <w:pPr>
        <w:ind w:firstLine="429"/>
        <w:rPr>
          <w:rFonts w:cs="Times New Roman"/>
        </w:rPr>
      </w:pPr>
      <w:r>
        <w:rPr>
          <w:rFonts w:cs="Times New Roman"/>
        </w:rPr>
        <w:t>9</w:t>
      </w:r>
      <w:r>
        <w:rPr>
          <w:rFonts w:hint="eastAsia" w:ascii="宋体" w:hAnsi="宋体" w:cs="Times New Roman"/>
        </w:rPr>
        <w:t>.</w:t>
      </w:r>
      <w:r>
        <w:rPr>
          <w:rFonts w:cs="Times New Roman"/>
        </w:rPr>
        <w:t>2020年1月15日，长光卫星技术有限公司发布消息称，其自主研发的</w:t>
      </w:r>
      <w:r>
        <w:rPr>
          <w:rFonts w:cs="Times New Roman"/>
          <w:b/>
          <w:bCs/>
        </w:rPr>
        <w:t>中国首颗亚米级超大幅宽光学遥感卫星</w:t>
      </w:r>
      <w:r>
        <w:rPr>
          <w:rFonts w:hint="eastAsia" w:ascii="宋体" w:hAnsi="宋体" w:cs="Times New Roman"/>
        </w:rPr>
        <w:t>——“</w:t>
      </w:r>
      <w:r>
        <w:rPr>
          <w:rFonts w:cs="Times New Roman"/>
        </w:rPr>
        <w:t>红旗一号-H9</w:t>
      </w:r>
      <w:r>
        <w:rPr>
          <w:rFonts w:hint="eastAsia" w:ascii="宋体" w:hAnsi="宋体" w:cs="Times New Roman"/>
        </w:rPr>
        <w:t>”</w:t>
      </w:r>
      <w:r>
        <w:rPr>
          <w:rFonts w:cs="Times New Roman"/>
        </w:rPr>
        <w:t>在太原卫星发射中心发射成功。</w:t>
      </w:r>
    </w:p>
    <w:p>
      <w:pPr>
        <w:ind w:firstLine="429"/>
        <w:rPr>
          <w:rFonts w:cs="Times New Roman"/>
        </w:rPr>
      </w:pPr>
      <w:r>
        <w:rPr>
          <w:rFonts w:cs="Times New Roman"/>
        </w:rPr>
        <w:t>10</w:t>
      </w:r>
      <w:r>
        <w:rPr>
          <w:rFonts w:hint="eastAsia" w:ascii="宋体" w:hAnsi="宋体" w:cs="Times New Roman"/>
        </w:rPr>
        <w:t>.</w:t>
      </w:r>
      <w:r>
        <w:rPr>
          <w:rFonts w:cs="Times New Roman"/>
        </w:rPr>
        <w:t>4月14日</w:t>
      </w:r>
      <w:r>
        <w:rPr>
          <w:rFonts w:cs="Times New Roman"/>
          <w:b/>
          <w:bCs/>
        </w:rPr>
        <w:t>，世界上单台容量最大</w:t>
      </w:r>
      <w:r>
        <w:rPr>
          <w:rFonts w:cs="Times New Roman"/>
        </w:rPr>
        <w:t>，重达397吨的1000兆伏安主</w:t>
      </w:r>
      <w:r>
        <w:rPr>
          <w:rFonts w:cs="Times New Roman"/>
          <w:b/>
          <w:bCs/>
        </w:rPr>
        <w:t>变压器</w:t>
      </w:r>
      <w:r>
        <w:rPr>
          <w:rFonts w:cs="Times New Roman"/>
        </w:rPr>
        <w:t>从</w:t>
      </w:r>
      <w:r>
        <w:rPr>
          <w:rFonts w:cs="Times New Roman"/>
          <w:b/>
          <w:bCs/>
        </w:rPr>
        <w:t>辽宁沈阳</w:t>
      </w:r>
      <w:r>
        <w:rPr>
          <w:rFonts w:cs="Times New Roman"/>
        </w:rPr>
        <w:t>顺利运抵江苏苏州1000千伏特高压东吴站扩建现场。据了解，这是疫情期间运输距离最远的变电设备。</w:t>
      </w:r>
    </w:p>
    <w:p>
      <w:pPr>
        <w:ind w:firstLine="429"/>
        <w:rPr>
          <w:rFonts w:cs="Times New Roman"/>
        </w:rPr>
      </w:pPr>
      <w:r>
        <w:rPr>
          <w:rFonts w:cs="Times New Roman"/>
        </w:rPr>
        <w:t>11</w:t>
      </w:r>
      <w:r>
        <w:rPr>
          <w:rFonts w:hint="eastAsia" w:ascii="宋体" w:hAnsi="宋体" w:cs="Times New Roman"/>
        </w:rPr>
        <w:t>.</w:t>
      </w:r>
      <w:r>
        <w:rPr>
          <w:rFonts w:cs="Times New Roman"/>
        </w:rPr>
        <w:t>2020年正值</w:t>
      </w:r>
      <w:r>
        <w:rPr>
          <w:rFonts w:cs="Times New Roman"/>
          <w:b/>
          <w:bCs/>
        </w:rPr>
        <w:t>中国人</w:t>
      </w:r>
      <w:r>
        <w:rPr>
          <w:rFonts w:cs="Times New Roman"/>
        </w:rPr>
        <w:t>首次从</w:t>
      </w:r>
      <w:r>
        <w:rPr>
          <w:rFonts w:cs="Times New Roman"/>
          <w:b/>
          <w:bCs/>
        </w:rPr>
        <w:t>北坡登顶珠峰60周年</w:t>
      </w:r>
      <w:r>
        <w:rPr>
          <w:rFonts w:cs="Times New Roman"/>
        </w:rPr>
        <w:t>，我国测绘工作者已对珠峰进行过6次大规模的测绘和科考工作，此次测量成果将再次展现珠峰新高度。</w:t>
      </w:r>
    </w:p>
    <w:p>
      <w:pPr>
        <w:ind w:firstLine="429"/>
        <w:rPr>
          <w:rFonts w:cs="Times New Roman"/>
        </w:rPr>
      </w:pPr>
      <w:r>
        <w:rPr>
          <w:rFonts w:cs="Times New Roman"/>
        </w:rPr>
        <w:t>12</w:t>
      </w:r>
      <w:r>
        <w:rPr>
          <w:rFonts w:hint="eastAsia" w:ascii="宋体" w:hAnsi="宋体" w:cs="Times New Roman"/>
        </w:rPr>
        <w:t>.</w:t>
      </w:r>
      <w:r>
        <w:rPr>
          <w:rFonts w:hint="eastAsia" w:ascii="方正舒体" w:hAnsi="方正舒体" w:eastAsia="方正舒体" w:cs="Times New Roman"/>
        </w:rPr>
        <w:t>（</w:t>
      </w:r>
      <w:r>
        <w:rPr>
          <w:rFonts w:cs="Times New Roman"/>
        </w:rPr>
        <w:t>5月5日</w:t>
      </w:r>
      <w:r>
        <w:rPr>
          <w:rFonts w:hint="eastAsia" w:ascii="方正舒体" w:hAnsi="方正舒体" w:eastAsia="方正舒体" w:cs="Times New Roman"/>
        </w:rPr>
        <w:t>）</w:t>
      </w:r>
      <w:r>
        <w:rPr>
          <w:rFonts w:cs="Times New Roman"/>
        </w:rPr>
        <w:t>18时，为我国载人空间站工程研制的长征五号B运载火箭搭载新一代载人飞船试验船和柔性充气式货物返回舱试验舱在我国文昌航天发射场点火升空，并成功入轨，首飞任务取得圆满成功，我国载人航天工程第三步</w:t>
      </w:r>
      <w:r>
        <w:rPr>
          <w:rFonts w:hint="eastAsia" w:ascii="宋体" w:hAnsi="宋体" w:cs="Times New Roman"/>
        </w:rPr>
        <w:t>——</w:t>
      </w:r>
      <w:r>
        <w:rPr>
          <w:rFonts w:cs="Times New Roman"/>
        </w:rPr>
        <w:t>空间站在轨建造任务拉开序幕。</w:t>
      </w:r>
    </w:p>
    <w:p>
      <w:pPr>
        <w:ind w:firstLine="429"/>
        <w:rPr>
          <w:rFonts w:cs="Times New Roman"/>
        </w:rPr>
      </w:pPr>
      <w:r>
        <w:rPr>
          <w:rFonts w:cs="Times New Roman"/>
        </w:rPr>
        <w:t>13</w:t>
      </w:r>
      <w:r>
        <w:rPr>
          <w:rFonts w:hint="eastAsia" w:ascii="宋体" w:hAnsi="宋体" w:cs="Times New Roman"/>
        </w:rPr>
        <w:t>.</w:t>
      </w:r>
      <w:r>
        <w:rPr>
          <w:rFonts w:cs="Times New Roman"/>
        </w:rPr>
        <w:t>5月31日16时53分，我国在酒泉卫星发射中心用长征二号丁运载火箭成功将高分九号02星、和德四号卫星送入预定轨道。高分九号02星是一颗光学遥感卫星，地面像元分辨率最高可达亚米级，主要用于国土普查、城市规划、农作物估产和防灾减灾等领域，可为</w:t>
      </w:r>
      <w:r>
        <w:rPr>
          <w:rFonts w:hint="eastAsia" w:ascii="宋体" w:hAnsi="宋体" w:cs="Times New Roman"/>
        </w:rPr>
        <w:t>“</w:t>
      </w:r>
      <w:r>
        <w:rPr>
          <w:rFonts w:cs="Times New Roman"/>
        </w:rPr>
        <w:t>一带一路</w:t>
      </w:r>
      <w:r>
        <w:rPr>
          <w:rFonts w:hint="eastAsia" w:ascii="宋体" w:hAnsi="宋体" w:cs="Times New Roman"/>
        </w:rPr>
        <w:t>”</w:t>
      </w:r>
      <w:r>
        <w:rPr>
          <w:rFonts w:cs="Times New Roman"/>
        </w:rPr>
        <w:t>建设等提供信息保障。和德四号卫星可在轨开展全球船舶航行状态采集、全球航班飞行状态采集和全球物联网信息采集。</w:t>
      </w:r>
    </w:p>
    <w:p>
      <w:pPr>
        <w:ind w:firstLine="429"/>
        <w:rPr>
          <w:rFonts w:cs="Times New Roman"/>
        </w:rPr>
      </w:pPr>
      <w:r>
        <w:rPr>
          <w:rFonts w:cs="Times New Roman"/>
        </w:rPr>
        <w:t>14</w:t>
      </w:r>
      <w:r>
        <w:rPr>
          <w:rFonts w:hint="eastAsia" w:ascii="宋体" w:hAnsi="宋体" w:cs="Times New Roman"/>
        </w:rPr>
        <w:t>.</w:t>
      </w:r>
      <w:r>
        <w:rPr>
          <w:rFonts w:cs="Times New Roman"/>
        </w:rPr>
        <w:t>嫦娥四号任务团队优秀代表中国探月工程总设计师</w:t>
      </w:r>
      <w:r>
        <w:rPr>
          <w:rFonts w:cs="Times New Roman"/>
          <w:b/>
          <w:bCs/>
        </w:rPr>
        <w:t>吴伟仁</w:t>
      </w:r>
      <w:r>
        <w:rPr>
          <w:rFonts w:cs="Times New Roman"/>
        </w:rPr>
        <w:t>，中国探月工程副总设计师</w:t>
      </w:r>
      <w:r>
        <w:rPr>
          <w:rFonts w:cs="Times New Roman"/>
          <w:b/>
          <w:bCs/>
        </w:rPr>
        <w:t>于登云</w:t>
      </w:r>
      <w:r>
        <w:rPr>
          <w:rFonts w:cs="Times New Roman"/>
        </w:rPr>
        <w:t>，嫦娥四号任务探测器系统总设计师</w:t>
      </w:r>
      <w:r>
        <w:rPr>
          <w:rFonts w:cs="Times New Roman"/>
          <w:b/>
          <w:bCs/>
        </w:rPr>
        <w:t>孙泽洲</w:t>
      </w:r>
      <w:r>
        <w:rPr>
          <w:rFonts w:cs="Times New Roman"/>
        </w:rPr>
        <w:t>，获得国际宇航联合会2020年度最高奖</w:t>
      </w:r>
      <w:r>
        <w:rPr>
          <w:rFonts w:hint="eastAsia" w:ascii="宋体" w:hAnsi="宋体" w:cs="Times New Roman"/>
        </w:rPr>
        <w:t>——</w:t>
      </w:r>
      <w:r>
        <w:rPr>
          <w:rFonts w:hint="eastAsia" w:ascii="宋体" w:hAnsi="宋体" w:cs="Times New Roman"/>
          <w:b/>
          <w:bCs/>
        </w:rPr>
        <w:t>“</w:t>
      </w:r>
      <w:r>
        <w:rPr>
          <w:rFonts w:cs="Times New Roman"/>
          <w:b/>
          <w:bCs/>
        </w:rPr>
        <w:t>世界航天奖</w:t>
      </w:r>
      <w:r>
        <w:rPr>
          <w:rFonts w:hint="eastAsia" w:ascii="宋体" w:hAnsi="宋体" w:cs="Times New Roman"/>
          <w:b/>
          <w:bCs/>
        </w:rPr>
        <w:t>”</w:t>
      </w:r>
      <w:r>
        <w:rPr>
          <w:rFonts w:cs="Times New Roman"/>
        </w:rPr>
        <w:t>。</w:t>
      </w:r>
    </w:p>
    <w:p>
      <w:pPr>
        <w:ind w:firstLine="429"/>
        <w:rPr>
          <w:rFonts w:cs="Times New Roman"/>
        </w:rPr>
      </w:pPr>
      <w:r>
        <w:rPr>
          <w:rFonts w:cs="Times New Roman"/>
        </w:rPr>
        <w:t>15</w:t>
      </w:r>
      <w:r>
        <w:rPr>
          <w:rFonts w:hint="eastAsia" w:ascii="宋体" w:hAnsi="宋体" w:cs="Times New Roman"/>
        </w:rPr>
        <w:t>.</w:t>
      </w:r>
      <w:r>
        <w:rPr>
          <w:rFonts w:cs="Times New Roman"/>
        </w:rPr>
        <w:t>我国首艘装载国产化科考装备的载人深潜器支持保障母船</w:t>
      </w:r>
      <w:r>
        <w:rPr>
          <w:rFonts w:hint="eastAsia" w:ascii="宋体" w:hAnsi="宋体" w:cs="Times New Roman"/>
        </w:rPr>
        <w:t>——“</w:t>
      </w:r>
      <w:r>
        <w:rPr>
          <w:rFonts w:cs="Times New Roman"/>
        </w:rPr>
        <w:t>探索二号</w:t>
      </w:r>
      <w:r>
        <w:rPr>
          <w:rFonts w:hint="eastAsia" w:ascii="宋体" w:hAnsi="宋体" w:cs="Times New Roman"/>
        </w:rPr>
        <w:t>”</w:t>
      </w:r>
      <w:r>
        <w:rPr>
          <w:rFonts w:cs="Times New Roman"/>
        </w:rPr>
        <w:t>科考船，在福建完成所有增改建项目。2020年6月25日上午顺利出坞，正式鸣笛启航，奔赴三亚，预计于6月28日抵达三亚南山港码头。</w:t>
      </w:r>
    </w:p>
    <w:p>
      <w:pPr>
        <w:ind w:firstLine="429"/>
        <w:rPr>
          <w:rFonts w:cs="Times New Roman"/>
        </w:rPr>
      </w:pPr>
      <w:r>
        <w:rPr>
          <w:rFonts w:cs="Times New Roman"/>
        </w:rPr>
        <w:t>16</w:t>
      </w:r>
      <w:r>
        <w:rPr>
          <w:rFonts w:hint="eastAsia" w:ascii="宋体" w:hAnsi="宋体" w:cs="Times New Roman"/>
        </w:rPr>
        <w:t>.</w:t>
      </w:r>
      <w:r>
        <w:rPr>
          <w:rFonts w:cs="Times New Roman"/>
        </w:rPr>
        <w:t>中国农民丰收节组织指导委员会正式设立</w:t>
      </w:r>
      <w:r>
        <w:rPr>
          <w:rFonts w:hint="eastAsia" w:ascii="宋体" w:hAnsi="宋体" w:cs="Times New Roman"/>
          <w:b/>
          <w:bCs/>
        </w:rPr>
        <w:t>“</w:t>
      </w:r>
      <w:r>
        <w:rPr>
          <w:rFonts w:cs="Times New Roman"/>
          <w:b/>
          <w:bCs/>
        </w:rPr>
        <w:t>中国农民丰收节推广大使</w:t>
      </w:r>
      <w:r>
        <w:rPr>
          <w:rFonts w:hint="eastAsia" w:ascii="宋体" w:hAnsi="宋体" w:cs="Times New Roman"/>
          <w:b/>
          <w:bCs/>
        </w:rPr>
        <w:t>”</w:t>
      </w:r>
      <w:r>
        <w:rPr>
          <w:rFonts w:cs="Times New Roman"/>
        </w:rPr>
        <w:t>，</w:t>
      </w:r>
      <w:r>
        <w:rPr>
          <w:rFonts w:cs="Times New Roman"/>
          <w:b/>
          <w:bCs/>
        </w:rPr>
        <w:t>袁隆平</w:t>
      </w:r>
      <w:r>
        <w:rPr>
          <w:rFonts w:cs="Times New Roman"/>
        </w:rPr>
        <w:t>、申纪兰、冯巩、海霞、冯骥才、</w:t>
      </w:r>
      <w:r>
        <w:rPr>
          <w:rFonts w:cs="Times New Roman"/>
          <w:b/>
          <w:bCs/>
        </w:rPr>
        <w:t>李子柒</w:t>
      </w:r>
      <w:r>
        <w:rPr>
          <w:rFonts w:cs="Times New Roman"/>
        </w:rPr>
        <w:t>等6人受聘担任首批推广大使。</w:t>
      </w:r>
    </w:p>
    <w:p>
      <w:pPr>
        <w:ind w:firstLine="429"/>
        <w:rPr>
          <w:rFonts w:cs="Times New Roman"/>
        </w:rPr>
      </w:pPr>
      <w:r>
        <w:rPr>
          <w:rFonts w:cs="Times New Roman"/>
        </w:rPr>
        <w:t>17</w:t>
      </w:r>
      <w:r>
        <w:rPr>
          <w:rFonts w:hint="eastAsia" w:ascii="宋体" w:hAnsi="宋体" w:cs="Times New Roman"/>
        </w:rPr>
        <w:t>.</w:t>
      </w:r>
      <w:r>
        <w:rPr>
          <w:rFonts w:cs="Times New Roman"/>
        </w:rPr>
        <w:t>2020年6月23日至24日，</w:t>
      </w:r>
      <w:r>
        <w:rPr>
          <w:rFonts w:cs="Times New Roman"/>
          <w:b/>
          <w:bCs/>
        </w:rPr>
        <w:t>第四届</w:t>
      </w:r>
      <w:r>
        <w:rPr>
          <w:rFonts w:cs="Times New Roman"/>
        </w:rPr>
        <w:t>世界智能大会云上峰会在线上举办。本次大会主题</w:t>
      </w:r>
      <w:r>
        <w:rPr>
          <w:rFonts w:hint="eastAsia" w:ascii="宋体" w:hAnsi="宋体" w:cs="Times New Roman"/>
          <w:b/>
          <w:bCs/>
        </w:rPr>
        <w:t>“</w:t>
      </w:r>
      <w:r>
        <w:rPr>
          <w:rFonts w:cs="Times New Roman"/>
          <w:b/>
          <w:bCs/>
        </w:rPr>
        <w:t>智能新时代：创新、赋能、生态</w:t>
      </w:r>
      <w:r>
        <w:rPr>
          <w:rFonts w:hint="eastAsia" w:ascii="宋体" w:hAnsi="宋体" w:cs="Times New Roman"/>
          <w:b/>
          <w:bCs/>
        </w:rPr>
        <w:t>”</w:t>
      </w:r>
      <w:r>
        <w:rPr>
          <w:rFonts w:cs="Times New Roman"/>
        </w:rPr>
        <w:t>。</w:t>
      </w:r>
    </w:p>
    <w:p>
      <w:pPr>
        <w:pStyle w:val="2"/>
        <w:ind w:firstLine="429"/>
        <w:rPr>
          <w:rFonts w:hint="eastAsia"/>
        </w:rPr>
      </w:pPr>
    </w:p>
    <w:p>
      <w:pPr>
        <w:ind w:firstLine="429"/>
      </w:pPr>
    </w:p>
    <w:sectPr>
      <w:headerReference r:id="rId5" w:type="first"/>
      <w:footerReference r:id="rId8" w:type="first"/>
      <w:headerReference r:id="rId3" w:type="default"/>
      <w:footerReference r:id="rId6" w:type="default"/>
      <w:headerReference r:id="rId4" w:type="even"/>
      <w:footerReference r:id="rId7" w:type="even"/>
      <w:pgSz w:w="11906" w:h="16838"/>
      <w:pgMar w:top="1871" w:right="1446" w:bottom="1587" w:left="1446" w:header="851" w:footer="964" w:gutter="0"/>
      <w:cols w:space="0" w:num="1"/>
      <w:titlePg/>
      <w:docGrid w:type="linesAndChars" w:linePitch="314" w:charSpace="9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PMingLiU-ExtB">
    <w:panose1 w:val="02020500000000000000"/>
    <w:charset w:val="88"/>
    <w:family w:val="roman"/>
    <w:pitch w:val="default"/>
    <w:sig w:usb0="8000002F" w:usb1="02000008" w:usb2="00000000"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05" w:right="10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105" w:right="105"/>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5"/>
                      <w:ind w:left="105" w:right="105"/>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05" w:right="10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105" w:right="105"/>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5"/>
                      <w:ind w:left="105" w:right="105"/>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05" w:right="10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20"/>
        <w:tab w:val="left" w:pos="4200"/>
      </w:tabs>
      <w:overflowPunct/>
      <w:adjustRightInd/>
      <w:snapToGrid/>
      <w:spacing w:before="200" w:line="240" w:lineRule="auto"/>
      <w:ind w:left="132" w:leftChars="-135" w:hanging="415" w:hangingChars="198"/>
      <w:textAlignment w:val="center"/>
    </w:pPr>
    <w:r>
      <w:rPr>
        <w:rFonts w:hint="eastAsia" w:asciiTheme="minorEastAsia" w:hAnsiTheme="minorEastAsia" w:eastAsiaTheme="minorEastAsia" w:cstheme="minorEastAsia"/>
      </w:rPr>
      <w:drawing>
        <wp:inline distT="0" distB="0" distL="114300" distR="114300">
          <wp:extent cx="945515" cy="222885"/>
          <wp:effectExtent l="0" t="0" r="6985" b="5715"/>
          <wp:docPr id="3" name="图片 3" descr="证卷代码LOGO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证卷代码LOGO黑"/>
                  <pic:cNvPicPr>
                    <a:picLocks noChangeAspect="1"/>
                  </pic:cNvPicPr>
                </pic:nvPicPr>
                <pic:blipFill>
                  <a:blip r:embed="rId1"/>
                  <a:srcRect b="24195"/>
                  <a:stretch>
                    <a:fillRect/>
                  </a:stretch>
                </pic:blipFill>
                <pic:spPr>
                  <a:xfrm>
                    <a:off x="0" y="0"/>
                    <a:ext cx="945515" cy="222885"/>
                  </a:xfrm>
                  <a:prstGeom prst="rect">
                    <a:avLst/>
                  </a:prstGeom>
                </pic:spPr>
              </pic:pic>
            </a:graphicData>
          </a:graphic>
        </wp:inline>
      </w:drawing>
    </w:r>
    <w:r>
      <w:rPr>
        <w:rFonts w:hint="eastAsia" w:cs="Times New Roman"/>
        <w:sz w:val="15"/>
        <w:szCs w:val="15"/>
      </w:rPr>
      <w:t xml:space="preserve">  </w:t>
    </w:r>
    <w:r>
      <w:rPr>
        <w:rFonts w:hint="eastAsia" w:ascii="宋体" w:hAnsi="宋体" w:cs="Times New Roman"/>
        <w:b/>
        <w:kern w:val="0"/>
        <w:sz w:val="36"/>
        <w:szCs w:val="36"/>
      </w:rPr>
      <w:t>|</w:t>
    </w:r>
    <w:r>
      <w:rPr>
        <w:rFonts w:hint="eastAsia" w:cs="Times New Roman"/>
        <w:sz w:val="15"/>
        <w:szCs w:val="15"/>
      </w:rPr>
      <w:t xml:space="preserve">  </w:t>
    </w:r>
    <w:r>
      <w:rPr>
        <w:rFonts w:hint="eastAsia" w:ascii="黑体" w:hAnsi="黑体" w:eastAsia="黑体" w:cs="黑体"/>
        <w:sz w:val="20"/>
        <w:szCs w:val="20"/>
      </w:rPr>
      <w:t>事业单位考前三十分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20"/>
        <w:tab w:val="left" w:pos="4200"/>
      </w:tabs>
      <w:overflowPunct/>
      <w:adjustRightInd/>
      <w:snapToGrid/>
      <w:spacing w:before="200" w:line="240" w:lineRule="auto"/>
      <w:ind w:firstLine="0" w:firstLineChars="0"/>
      <w:textAlignment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46"/>
    <w:rsid w:val="00021373"/>
    <w:rsid w:val="003349E8"/>
    <w:rsid w:val="003C74C4"/>
    <w:rsid w:val="00472C46"/>
    <w:rsid w:val="009B51D8"/>
    <w:rsid w:val="00B65E12"/>
    <w:rsid w:val="00F607A6"/>
    <w:rsid w:val="1A3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adjustRightInd w:val="0"/>
      <w:snapToGrid w:val="0"/>
      <w:spacing w:line="368" w:lineRule="auto"/>
      <w:ind w:firstLine="428" w:firstLineChars="200"/>
      <w:jc w:val="both"/>
    </w:pPr>
    <w:rPr>
      <w:rFonts w:ascii="Times New Roman" w:hAnsi="Times New Roman" w:eastAsia="宋体" w:cstheme="minorBidi"/>
      <w:kern w:val="2"/>
      <w:sz w:val="21"/>
      <w:szCs w:val="22"/>
      <w:lang w:val="en-US" w:eastAsia="zh-CN" w:bidi="ar-SA"/>
    </w:rPr>
  </w:style>
  <w:style w:type="paragraph" w:styleId="3">
    <w:name w:val="heading 1"/>
    <w:next w:val="1"/>
    <w:link w:val="12"/>
    <w:qFormat/>
    <w:uiPriority w:val="0"/>
    <w:pPr>
      <w:keepNext/>
      <w:widowControl w:val="0"/>
      <w:overflowPunct w:val="0"/>
      <w:adjustRightInd w:val="0"/>
      <w:snapToGrid w:val="0"/>
      <w:spacing w:before="100" w:beforeLines="100" w:after="100" w:afterLines="100"/>
      <w:jc w:val="center"/>
      <w:outlineLvl w:val="0"/>
    </w:pPr>
    <w:rPr>
      <w:rFonts w:ascii="黑体" w:hAnsi="黑体" w:eastAsia="黑体" w:cstheme="minorBidi"/>
      <w:spacing w:val="23"/>
      <w:kern w:val="44"/>
      <w:sz w:val="32"/>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1"/>
    <w:next w:val="1"/>
    <w:link w:val="14"/>
    <w:semiHidden/>
    <w:unhideWhenUsed/>
    <w:qFormat/>
    <w:uiPriority w:val="99"/>
    <w:pPr>
      <w:ind w:firstLine="420"/>
    </w:pPr>
  </w:style>
  <w:style w:type="paragraph" w:styleId="4">
    <w:name w:val="Body Text Indent"/>
    <w:basedOn w:val="1"/>
    <w:link w:val="13"/>
    <w:semiHidden/>
    <w:unhideWhenUsed/>
    <w:qFormat/>
    <w:uiPriority w:val="99"/>
    <w:pPr>
      <w:spacing w:after="120"/>
      <w:ind w:left="420" w:leftChars="200"/>
    </w:pPr>
  </w:style>
  <w:style w:type="paragraph" w:styleId="5">
    <w:name w:val="footer"/>
    <w:basedOn w:val="1"/>
    <w:link w:val="11"/>
    <w:unhideWhenUsed/>
    <w:qFormat/>
    <w:uiPriority w:val="0"/>
    <w:pPr>
      <w:tabs>
        <w:tab w:val="center" w:pos="4153"/>
        <w:tab w:val="right" w:pos="8306"/>
      </w:tabs>
      <w:overflowPunct/>
      <w:adjustRightInd/>
      <w:spacing w:line="240" w:lineRule="auto"/>
      <w:ind w:firstLine="0" w:firstLineChars="0"/>
      <w:jc w:val="left"/>
    </w:pPr>
    <w:rPr>
      <w:rFonts w:asciiTheme="minorHAnsi" w:hAnsiTheme="minorHAnsi" w:eastAsiaTheme="minorEastAsia"/>
      <w:sz w:val="18"/>
      <w:szCs w:val="18"/>
    </w:rPr>
  </w:style>
  <w:style w:type="paragraph" w:styleId="6">
    <w:name w:val="header"/>
    <w:basedOn w:val="1"/>
    <w:link w:val="10"/>
    <w:unhideWhenUsed/>
    <w:qFormat/>
    <w:uiPriority w:val="0"/>
    <w:pPr>
      <w:pBdr>
        <w:bottom w:val="single" w:color="auto" w:sz="6" w:space="1"/>
      </w:pBdr>
      <w:tabs>
        <w:tab w:val="center" w:pos="4153"/>
        <w:tab w:val="right" w:pos="8306"/>
      </w:tabs>
      <w:overflowPunct/>
      <w:adjustRightInd/>
      <w:spacing w:line="240" w:lineRule="auto"/>
      <w:ind w:firstLine="0" w:firstLineChars="0"/>
      <w:jc w:val="center"/>
    </w:pPr>
    <w:rPr>
      <w:rFonts w:asciiTheme="minorHAnsi" w:hAnsiTheme="minorHAnsi" w:eastAsiaTheme="minorEastAsia"/>
      <w:sz w:val="18"/>
      <w:szCs w:val="18"/>
    </w:rPr>
  </w:style>
  <w:style w:type="paragraph" w:styleId="7">
    <w:name w:val="Normal (Web)"/>
    <w:basedOn w:val="1"/>
    <w:qFormat/>
    <w:uiPriority w:val="0"/>
    <w:pPr>
      <w:spacing w:before="100" w:beforeAutospacing="1" w:after="100" w:afterAutospacing="1"/>
      <w:jc w:val="left"/>
    </w:pPr>
    <w:rPr>
      <w:kern w:val="0"/>
      <w:sz w:val="24"/>
      <w:szCs w:val="20"/>
    </w:rPr>
  </w:style>
  <w:style w:type="character" w:customStyle="1" w:styleId="10">
    <w:name w:val="页眉 字符"/>
    <w:basedOn w:val="9"/>
    <w:link w:val="6"/>
    <w:uiPriority w:val="99"/>
    <w:rPr>
      <w:sz w:val="18"/>
      <w:szCs w:val="18"/>
    </w:rPr>
  </w:style>
  <w:style w:type="character" w:customStyle="1" w:styleId="11">
    <w:name w:val="页脚 字符"/>
    <w:basedOn w:val="9"/>
    <w:link w:val="5"/>
    <w:uiPriority w:val="99"/>
    <w:rPr>
      <w:sz w:val="18"/>
      <w:szCs w:val="18"/>
    </w:rPr>
  </w:style>
  <w:style w:type="character" w:customStyle="1" w:styleId="12">
    <w:name w:val="标题 1 字符"/>
    <w:basedOn w:val="9"/>
    <w:link w:val="3"/>
    <w:qFormat/>
    <w:uiPriority w:val="0"/>
    <w:rPr>
      <w:rFonts w:ascii="黑体" w:hAnsi="黑体" w:eastAsia="黑体"/>
      <w:spacing w:val="23"/>
      <w:kern w:val="44"/>
      <w:sz w:val="32"/>
      <w:szCs w:val="20"/>
    </w:rPr>
  </w:style>
  <w:style w:type="character" w:customStyle="1" w:styleId="13">
    <w:name w:val="正文文本缩进 字符"/>
    <w:basedOn w:val="9"/>
    <w:link w:val="4"/>
    <w:semiHidden/>
    <w:qFormat/>
    <w:uiPriority w:val="99"/>
    <w:rPr>
      <w:rFonts w:ascii="Times New Roman" w:hAnsi="Times New Roman" w:eastAsia="宋体"/>
    </w:rPr>
  </w:style>
  <w:style w:type="character" w:customStyle="1" w:styleId="14">
    <w:name w:val="正文文本首行缩进 2 字符"/>
    <w:basedOn w:val="13"/>
    <w:link w:val="2"/>
    <w:semiHidden/>
    <w:uiPriority w:val="99"/>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725</Words>
  <Characters>4137</Characters>
  <Lines>34</Lines>
  <Paragraphs>9</Paragraphs>
  <TotalTime>2</TotalTime>
  <ScaleCrop>false</ScaleCrop>
  <LinksUpToDate>false</LinksUpToDate>
  <CharactersWithSpaces>4853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2020-09-02T12:55:00Z</dcterms:created>
  <dc:creator>张可鑫</dc:creator>
  <cp:lastModifiedBy>代表消灭你</cp:lastModifiedBy>
  <dcterms:modified xsi:type="dcterms:W3CDTF">2020-09-03T06:08:43Z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