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center"/>
        <w:outlineLvl w:val="0"/>
        <w:rPr>
          <w:rFonts w:eastAsia="方正小标宋简体"/>
          <w:sz w:val="36"/>
          <w:szCs w:val="36"/>
        </w:rPr>
      </w:pPr>
      <w:bookmarkStart w:id="0" w:name="_GoBack"/>
      <w:bookmarkEnd w:id="0"/>
    </w:p>
    <w:p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hint="eastAsia" w:eastAsiaTheme="minorEastAsia"/>
          <w:sz w:val="36"/>
          <w:szCs w:val="36"/>
          <w:lang w:eastAsia="zh-CN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color w:val="222222"/>
          <w:szCs w:val="21"/>
          <w:shd w:val="clear" w:color="auto" w:fill="FCFDFD"/>
          <w:lang w:eastAsia="zh-CN"/>
        </w:rPr>
        <w:t>教育局</w:t>
      </w:r>
    </w:p>
    <w:tbl>
      <w:tblPr>
        <w:tblStyle w:val="3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14B02E2A"/>
    <w:rsid w:val="4E421A30"/>
    <w:rsid w:val="5D24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奔向阳光的人</cp:lastModifiedBy>
  <dcterms:modified xsi:type="dcterms:W3CDTF">2020-09-11T02:41:59Z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