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w:t>
      </w:r>
    </w:p>
    <w:p>
      <w:pPr>
        <w:spacing w:line="560" w:lineRule="exact"/>
        <w:jc w:val="center"/>
        <w:rPr>
          <w:rFonts w:hint="eastAsia" w:ascii="黑体" w:hAnsi="黑体" w:eastAsia="黑体"/>
          <w:sz w:val="44"/>
          <w:szCs w:val="44"/>
        </w:rPr>
      </w:pPr>
      <w:bookmarkStart w:id="64" w:name="_GoBack"/>
      <w:r>
        <w:rPr>
          <w:rFonts w:hint="eastAsia" w:ascii="黑体" w:hAnsi="黑体" w:eastAsia="黑体"/>
          <w:sz w:val="44"/>
          <w:szCs w:val="44"/>
        </w:rPr>
        <w:t>医   保   政   策   汇   编</w:t>
      </w:r>
    </w:p>
    <w:bookmarkEnd w:id="64"/>
    <w:p>
      <w:pPr>
        <w:pStyle w:val="32"/>
        <w:jc w:val="center"/>
        <w:rPr>
          <w:color w:val="auto"/>
          <w:sz w:val="44"/>
          <w:szCs w:val="44"/>
        </w:rPr>
      </w:pPr>
      <w:r>
        <w:rPr>
          <w:color w:val="auto"/>
          <w:sz w:val="44"/>
          <w:szCs w:val="44"/>
          <w:lang w:val="zh-CN"/>
        </w:rPr>
        <w:t>目录</w:t>
      </w:r>
    </w:p>
    <w:p>
      <w:pPr>
        <w:pStyle w:val="9"/>
        <w:tabs>
          <w:tab w:val="right" w:leader="dot" w:pos="8296"/>
        </w:tabs>
        <w:rPr>
          <w:rFonts w:ascii="Calibri" w:hAnsi="Calibri"/>
          <w:szCs w:val="22"/>
        </w:rPr>
      </w:pPr>
      <w:r>
        <w:fldChar w:fldCharType="begin"/>
      </w:r>
      <w:r>
        <w:instrText xml:space="preserve"> TOC \o "1-3" \h \z \u </w:instrText>
      </w:r>
      <w:r>
        <w:fldChar w:fldCharType="separate"/>
      </w:r>
      <w:r>
        <w:fldChar w:fldCharType="begin"/>
      </w:r>
      <w:r>
        <w:instrText xml:space="preserve"> HYPERLINK \l "_Toc519450128" </w:instrText>
      </w:r>
      <w:r>
        <w:fldChar w:fldCharType="separate"/>
      </w:r>
      <w:r>
        <w:rPr>
          <w:rStyle w:val="19"/>
          <w:rFonts w:hint="eastAsia"/>
        </w:rPr>
        <w:t>一、参保与征缴</w:t>
      </w:r>
      <w:r>
        <w:tab/>
      </w:r>
      <w:r>
        <w:fldChar w:fldCharType="begin"/>
      </w:r>
      <w:r>
        <w:instrText xml:space="preserve"> PAGEREF _Toc519450128 \h </w:instrText>
      </w:r>
      <w:r>
        <w:fldChar w:fldCharType="separate"/>
      </w:r>
      <w:r>
        <w:t>10</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"_Toc519450129" </w:instrText>
      </w:r>
      <w:r>
        <w:fldChar w:fldCharType="separate"/>
      </w:r>
      <w:r>
        <w:rPr>
          <w:rStyle w:val="19"/>
          <w:rFonts w:hint="eastAsia"/>
        </w:rPr>
        <w:t>（一）职工医保</w:t>
      </w:r>
      <w:r>
        <w:tab/>
      </w:r>
      <w:r>
        <w:fldChar w:fldCharType="begin"/>
      </w:r>
      <w:r>
        <w:instrText xml:space="preserve"> PAGEREF _Toc519450129 \h </w:instrText>
      </w:r>
      <w:r>
        <w:fldChar w:fldCharType="separate"/>
      </w:r>
      <w:r>
        <w:t>10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"_Toc519450130" </w:instrText>
      </w:r>
      <w:r>
        <w:fldChar w:fldCharType="separate"/>
      </w:r>
      <w:r>
        <w:rPr>
          <w:rStyle w:val="19"/>
        </w:rPr>
        <w:t>1</w:t>
      </w:r>
      <w:r>
        <w:rPr>
          <w:rStyle w:val="19"/>
          <w:rFonts w:hint="eastAsia"/>
        </w:rPr>
        <w:t>、参保范围</w:t>
      </w:r>
      <w:r>
        <w:tab/>
      </w:r>
      <w:r>
        <w:fldChar w:fldCharType="begin"/>
      </w:r>
      <w:r>
        <w:instrText xml:space="preserve"> PAGEREF _Toc519450130 \h </w:instrText>
      </w:r>
      <w:r>
        <w:fldChar w:fldCharType="separate"/>
      </w:r>
      <w:r>
        <w:t>10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"_Toc519450131" </w:instrText>
      </w:r>
      <w:r>
        <w:fldChar w:fldCharType="separate"/>
      </w:r>
      <w:r>
        <w:rPr>
          <w:rStyle w:val="19"/>
        </w:rPr>
        <w:t>2</w:t>
      </w:r>
      <w:r>
        <w:rPr>
          <w:rStyle w:val="19"/>
          <w:rFonts w:hint="eastAsia"/>
        </w:rPr>
        <w:t>、缴费基数</w:t>
      </w:r>
      <w:r>
        <w:tab/>
      </w:r>
      <w:r>
        <w:fldChar w:fldCharType="begin"/>
      </w:r>
      <w:r>
        <w:instrText xml:space="preserve"> PAGEREF _Toc519450131 \h </w:instrText>
      </w:r>
      <w:r>
        <w:fldChar w:fldCharType="separate"/>
      </w:r>
      <w:r>
        <w:t>10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"_Toc519450132" </w:instrText>
      </w:r>
      <w:r>
        <w:fldChar w:fldCharType="separate"/>
      </w:r>
      <w:r>
        <w:rPr>
          <w:rStyle w:val="19"/>
        </w:rPr>
        <w:t>3</w:t>
      </w:r>
      <w:r>
        <w:rPr>
          <w:rStyle w:val="19"/>
          <w:rFonts w:hint="eastAsia"/>
        </w:rPr>
        <w:t>、普通职工参保缴费</w:t>
      </w:r>
      <w:r>
        <w:tab/>
      </w:r>
      <w:r>
        <w:fldChar w:fldCharType="begin"/>
      </w:r>
      <w:r>
        <w:instrText xml:space="preserve"> PAGEREF _Toc519450132 \h </w:instrText>
      </w:r>
      <w:r>
        <w:fldChar w:fldCharType="separate"/>
      </w:r>
      <w:r>
        <w:t>10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"_Toc519450133" </w:instrText>
      </w:r>
      <w:r>
        <w:fldChar w:fldCharType="separate"/>
      </w:r>
      <w:r>
        <w:rPr>
          <w:rStyle w:val="19"/>
        </w:rPr>
        <w:t>4</w:t>
      </w:r>
      <w:r>
        <w:rPr>
          <w:rStyle w:val="19"/>
          <w:rFonts w:hint="eastAsia"/>
        </w:rPr>
        <w:t>、灵活就业参保缴费</w:t>
      </w:r>
      <w:r>
        <w:tab/>
      </w:r>
      <w:r>
        <w:fldChar w:fldCharType="begin"/>
      </w:r>
      <w:r>
        <w:instrText xml:space="preserve"> PAGEREF _Toc519450133 \h </w:instrText>
      </w:r>
      <w:r>
        <w:fldChar w:fldCharType="separate"/>
      </w:r>
      <w:r>
        <w:t>10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"_Toc519450134" </w:instrText>
      </w:r>
      <w:r>
        <w:fldChar w:fldCharType="separate"/>
      </w:r>
      <w:r>
        <w:rPr>
          <w:rStyle w:val="19"/>
        </w:rPr>
        <w:t>5</w:t>
      </w:r>
      <w:r>
        <w:rPr>
          <w:rStyle w:val="19"/>
          <w:rFonts w:hint="eastAsia"/>
        </w:rPr>
        <w:t>、提前退休人员参保缴费</w:t>
      </w:r>
      <w:r>
        <w:tab/>
      </w:r>
      <w:r>
        <w:fldChar w:fldCharType="begin"/>
      </w:r>
      <w:r>
        <w:instrText xml:space="preserve"> PAGEREF _Toc519450134 \h </w:instrText>
      </w:r>
      <w:r>
        <w:fldChar w:fldCharType="separate"/>
      </w:r>
      <w:r>
        <w:t>10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"_Toc519450135" </w:instrText>
      </w:r>
      <w:r>
        <w:fldChar w:fldCharType="separate"/>
      </w:r>
      <w:r>
        <w:rPr>
          <w:rStyle w:val="19"/>
        </w:rPr>
        <w:t>6</w:t>
      </w:r>
      <w:r>
        <w:rPr>
          <w:rStyle w:val="19"/>
          <w:rFonts w:hint="eastAsia"/>
        </w:rPr>
        <w:t>、芗城区无军籍退休职工医疗保险费的缴纳</w:t>
      </w:r>
      <w:r>
        <w:tab/>
      </w:r>
      <w:r>
        <w:fldChar w:fldCharType="begin"/>
      </w:r>
      <w:r>
        <w:instrText xml:space="preserve"> PAGEREF _Toc519450135 \h </w:instrText>
      </w:r>
      <w:r>
        <w:fldChar w:fldCharType="separate"/>
      </w:r>
      <w:r>
        <w:t>11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"_Toc519450136" </w:instrText>
      </w:r>
      <w:r>
        <w:fldChar w:fldCharType="separate"/>
      </w:r>
      <w:r>
        <w:rPr>
          <w:rStyle w:val="19"/>
        </w:rPr>
        <w:t>7</w:t>
      </w:r>
      <w:r>
        <w:rPr>
          <w:rStyle w:val="19"/>
          <w:rFonts w:hint="eastAsia"/>
        </w:rPr>
        <w:t>、移交政府安置的军队退休干部、退休士官医疗保险费的缴纳</w:t>
      </w:r>
      <w:r>
        <w:tab/>
      </w:r>
      <w:r>
        <w:fldChar w:fldCharType="begin"/>
      </w:r>
      <w:r>
        <w:instrText xml:space="preserve"> PAGEREF _Toc519450136 \h </w:instrText>
      </w:r>
      <w:r>
        <w:fldChar w:fldCharType="separate"/>
      </w:r>
      <w:r>
        <w:t>11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"_Toc519450137" </w:instrText>
      </w:r>
      <w:r>
        <w:fldChar w:fldCharType="separate"/>
      </w:r>
      <w:r>
        <w:rPr>
          <w:rStyle w:val="19"/>
        </w:rPr>
        <w:t>8</w:t>
      </w:r>
      <w:r>
        <w:rPr>
          <w:rStyle w:val="19"/>
          <w:rFonts w:hint="eastAsia"/>
        </w:rPr>
        <w:t>、职工医保个人帐户划拨比例</w:t>
      </w:r>
      <w:r>
        <w:tab/>
      </w:r>
      <w:r>
        <w:fldChar w:fldCharType="begin"/>
      </w:r>
      <w:r>
        <w:instrText xml:space="preserve"> PAGEREF _Toc519450137 \h </w:instrText>
      </w:r>
      <w:r>
        <w:fldChar w:fldCharType="separate"/>
      </w:r>
      <w:r>
        <w:t>11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"_Toc519450138" </w:instrText>
      </w:r>
      <w:r>
        <w:fldChar w:fldCharType="separate"/>
      </w:r>
      <w:r>
        <w:rPr>
          <w:rStyle w:val="19"/>
        </w:rPr>
        <w:t>9</w:t>
      </w:r>
      <w:r>
        <w:rPr>
          <w:rStyle w:val="19"/>
          <w:rFonts w:hint="eastAsia"/>
        </w:rPr>
        <w:t>、缴费年限的确认及补缴</w:t>
      </w:r>
      <w:r>
        <w:tab/>
      </w:r>
      <w:r>
        <w:fldChar w:fldCharType="begin"/>
      </w:r>
      <w:r>
        <w:instrText xml:space="preserve"> PAGEREF _Toc519450138 \h </w:instrText>
      </w:r>
      <w:r>
        <w:fldChar w:fldCharType="separate"/>
      </w:r>
      <w:r>
        <w:t>11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"_Toc519450139" </w:instrText>
      </w:r>
      <w:r>
        <w:fldChar w:fldCharType="separate"/>
      </w:r>
      <w:r>
        <w:rPr>
          <w:rStyle w:val="19"/>
        </w:rPr>
        <w:t>10</w:t>
      </w:r>
      <w:r>
        <w:rPr>
          <w:rStyle w:val="19"/>
          <w:rFonts w:hint="eastAsia"/>
        </w:rPr>
        <w:t>、职工医保关系转移接续</w:t>
      </w:r>
      <w:r>
        <w:tab/>
      </w:r>
      <w:r>
        <w:fldChar w:fldCharType="begin"/>
      </w:r>
      <w:r>
        <w:instrText xml:space="preserve"> PAGEREF _Toc519450139 \h </w:instrText>
      </w:r>
      <w:r>
        <w:fldChar w:fldCharType="separate"/>
      </w:r>
      <w:r>
        <w:t>13</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"_Toc519450140" </w:instrText>
      </w:r>
      <w:r>
        <w:fldChar w:fldCharType="separate"/>
      </w:r>
      <w:r>
        <w:rPr>
          <w:rStyle w:val="19"/>
          <w:rFonts w:hint="eastAsia"/>
        </w:rPr>
        <w:t>（二）公务员医疗补助</w:t>
      </w:r>
      <w:r>
        <w:tab/>
      </w:r>
      <w:r>
        <w:fldChar w:fldCharType="begin"/>
      </w:r>
      <w:r>
        <w:instrText xml:space="preserve"> PAGEREF _Toc519450140 \h </w:instrText>
      </w:r>
      <w:r>
        <w:fldChar w:fldCharType="separate"/>
      </w:r>
      <w:r>
        <w:t>14</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"_Toc519450141" </w:instrText>
      </w:r>
      <w:r>
        <w:fldChar w:fldCharType="separate"/>
      </w:r>
      <w:r>
        <w:rPr>
          <w:rStyle w:val="19"/>
        </w:rPr>
        <w:t>1</w:t>
      </w:r>
      <w:r>
        <w:rPr>
          <w:rStyle w:val="19"/>
          <w:rFonts w:hint="eastAsia"/>
        </w:rPr>
        <w:t>、参保范围</w:t>
      </w:r>
      <w:r>
        <w:tab/>
      </w:r>
      <w:r>
        <w:fldChar w:fldCharType="begin"/>
      </w:r>
      <w:r>
        <w:instrText xml:space="preserve"> PAGEREF _Toc519450141 \h </w:instrText>
      </w:r>
      <w:r>
        <w:fldChar w:fldCharType="separate"/>
      </w:r>
      <w:r>
        <w:t>14</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"_Toc519450142" </w:instrText>
      </w:r>
      <w:r>
        <w:fldChar w:fldCharType="separate"/>
      </w:r>
      <w:r>
        <w:rPr>
          <w:rStyle w:val="19"/>
        </w:rPr>
        <w:t>2</w:t>
      </w:r>
      <w:r>
        <w:rPr>
          <w:rStyle w:val="19"/>
          <w:rFonts w:hint="eastAsia"/>
        </w:rPr>
        <w:t>、公务员医疗补助缴费</w:t>
      </w:r>
      <w:r>
        <w:tab/>
      </w:r>
      <w:r>
        <w:fldChar w:fldCharType="begin"/>
      </w:r>
      <w:r>
        <w:instrText xml:space="preserve"> PAGEREF _Toc519450142 \h </w:instrText>
      </w:r>
      <w:r>
        <w:fldChar w:fldCharType="separate"/>
      </w:r>
      <w:r>
        <w:t>14</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"_Toc519450143" </w:instrText>
      </w:r>
      <w:r>
        <w:fldChar w:fldCharType="separate"/>
      </w:r>
      <w:r>
        <w:rPr>
          <w:rStyle w:val="19"/>
        </w:rPr>
        <w:t>3</w:t>
      </w:r>
      <w:r>
        <w:rPr>
          <w:rStyle w:val="19"/>
          <w:rFonts w:hint="eastAsia"/>
        </w:rPr>
        <w:t>、公务员补助基金个人账户划拨比例</w:t>
      </w:r>
      <w:r>
        <w:tab/>
      </w:r>
      <w:r>
        <w:fldChar w:fldCharType="begin"/>
      </w:r>
      <w:r>
        <w:instrText xml:space="preserve"> PAGEREF _Toc519450143 \h </w:instrText>
      </w:r>
      <w:r>
        <w:fldChar w:fldCharType="separate"/>
      </w:r>
      <w:r>
        <w:t>14</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"_Toc519450144" </w:instrText>
      </w:r>
      <w:r>
        <w:fldChar w:fldCharType="separate"/>
      </w:r>
      <w:r>
        <w:rPr>
          <w:rStyle w:val="19"/>
        </w:rPr>
        <w:t>4</w:t>
      </w:r>
      <w:r>
        <w:rPr>
          <w:rStyle w:val="19"/>
          <w:rFonts w:hint="eastAsia"/>
        </w:rPr>
        <w:t>、享受医疗保健对象待遇申报及变更</w:t>
      </w:r>
      <w:r>
        <w:tab/>
      </w:r>
      <w:r>
        <w:fldChar w:fldCharType="begin"/>
      </w:r>
      <w:r>
        <w:instrText xml:space="preserve"> PAGEREF _Toc519450144 \h </w:instrText>
      </w:r>
      <w:r>
        <w:fldChar w:fldCharType="separate"/>
      </w:r>
      <w:r>
        <w:t>15</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"_Toc519450145" </w:instrText>
      </w:r>
      <w:r>
        <w:fldChar w:fldCharType="separate"/>
      </w:r>
      <w:r>
        <w:rPr>
          <w:rStyle w:val="19"/>
          <w:rFonts w:hint="eastAsia"/>
        </w:rPr>
        <w:t>（三）职工生育保险</w:t>
      </w:r>
      <w:r>
        <w:tab/>
      </w:r>
      <w:r>
        <w:fldChar w:fldCharType="begin"/>
      </w:r>
      <w:r>
        <w:instrText xml:space="preserve"> PAGEREF _Toc519450145 \h </w:instrText>
      </w:r>
      <w:r>
        <w:fldChar w:fldCharType="separate"/>
      </w:r>
      <w:r>
        <w:t>16</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"_Toc519450146" </w:instrText>
      </w:r>
      <w:r>
        <w:fldChar w:fldCharType="separate"/>
      </w:r>
      <w:r>
        <w:rPr>
          <w:rStyle w:val="19"/>
        </w:rPr>
        <w:t>1</w:t>
      </w:r>
      <w:r>
        <w:rPr>
          <w:rStyle w:val="19"/>
          <w:rFonts w:hint="eastAsia"/>
        </w:rPr>
        <w:t>、参保范围</w:t>
      </w:r>
      <w:r>
        <w:tab/>
      </w:r>
      <w:r>
        <w:fldChar w:fldCharType="begin"/>
      </w:r>
      <w:r>
        <w:instrText xml:space="preserve"> PAGEREF _Toc519450146 \h </w:instrText>
      </w:r>
      <w:r>
        <w:fldChar w:fldCharType="separate"/>
      </w:r>
      <w:r>
        <w:t>16</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"_Toc519450147" </w:instrText>
      </w:r>
      <w:r>
        <w:fldChar w:fldCharType="separate"/>
      </w:r>
      <w:r>
        <w:rPr>
          <w:rStyle w:val="19"/>
        </w:rPr>
        <w:t>2</w:t>
      </w:r>
      <w:r>
        <w:rPr>
          <w:rStyle w:val="19"/>
          <w:rFonts w:hint="eastAsia"/>
        </w:rPr>
        <w:t>、职工生育保险费缴纳</w:t>
      </w:r>
      <w:r>
        <w:tab/>
      </w:r>
      <w:r>
        <w:fldChar w:fldCharType="begin"/>
      </w:r>
      <w:r>
        <w:instrText xml:space="preserve"> PAGEREF _Toc519450147 \h </w:instrText>
      </w:r>
      <w:r>
        <w:fldChar w:fldCharType="separate"/>
      </w:r>
      <w:r>
        <w:t>16</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"_Toc519450148" </w:instrText>
      </w:r>
      <w:r>
        <w:fldChar w:fldCharType="separate"/>
      </w:r>
      <w:r>
        <w:rPr>
          <w:rStyle w:val="19"/>
        </w:rPr>
        <w:t>3</w:t>
      </w:r>
      <w:r>
        <w:rPr>
          <w:rStyle w:val="19"/>
          <w:rFonts w:hint="eastAsia"/>
        </w:rPr>
        <w:t>、生育保险关系转移接续</w:t>
      </w:r>
      <w:r>
        <w:tab/>
      </w:r>
      <w:r>
        <w:fldChar w:fldCharType="begin"/>
      </w:r>
      <w:r>
        <w:instrText xml:space="preserve"> PAGEREF _Toc519450148 \h </w:instrText>
      </w:r>
      <w:r>
        <w:fldChar w:fldCharType="separate"/>
      </w:r>
      <w:r>
        <w:t>16</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"_Toc519450149" </w:instrText>
      </w:r>
      <w:r>
        <w:fldChar w:fldCharType="separate"/>
      </w:r>
      <w:r>
        <w:rPr>
          <w:rStyle w:val="19"/>
          <w:rFonts w:hint="eastAsia"/>
        </w:rPr>
        <w:t>（四）城乡居民医保缴费</w:t>
      </w:r>
      <w:r>
        <w:tab/>
      </w:r>
      <w:r>
        <w:fldChar w:fldCharType="begin"/>
      </w:r>
      <w:r>
        <w:instrText xml:space="preserve"> PAGEREF _Toc519450149 \h </w:instrText>
      </w:r>
      <w:r>
        <w:fldChar w:fldCharType="separate"/>
      </w:r>
      <w:r>
        <w:t>17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"_Toc519450150" </w:instrText>
      </w:r>
      <w:r>
        <w:fldChar w:fldCharType="separate"/>
      </w:r>
      <w:r>
        <w:rPr>
          <w:rStyle w:val="19"/>
        </w:rPr>
        <w:t>1</w:t>
      </w:r>
      <w:r>
        <w:rPr>
          <w:rStyle w:val="19"/>
          <w:rFonts w:hint="eastAsia"/>
        </w:rPr>
        <w:t>、参保范围</w:t>
      </w:r>
      <w:r>
        <w:tab/>
      </w:r>
      <w:r>
        <w:fldChar w:fldCharType="begin"/>
      </w:r>
      <w:r>
        <w:instrText xml:space="preserve"> PAGEREF _Toc519450150 \h </w:instrText>
      </w:r>
      <w:r>
        <w:fldChar w:fldCharType="separate"/>
      </w:r>
      <w:r>
        <w:t>17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"_Toc519450151" </w:instrText>
      </w:r>
      <w:r>
        <w:fldChar w:fldCharType="separate"/>
      </w:r>
      <w:r>
        <w:rPr>
          <w:rStyle w:val="19"/>
          <w:rFonts w:cs="宋体"/>
          <w:kern w:val="0"/>
        </w:rPr>
        <w:t>2</w:t>
      </w:r>
      <w:r>
        <w:rPr>
          <w:rStyle w:val="19"/>
          <w:rFonts w:hint="eastAsia" w:cs="宋体"/>
          <w:kern w:val="0"/>
        </w:rPr>
        <w:t>、</w:t>
      </w:r>
      <w:r>
        <w:rPr>
          <w:rStyle w:val="19"/>
          <w:rFonts w:hint="eastAsia"/>
        </w:rPr>
        <w:t>筹资方式</w:t>
      </w:r>
      <w:r>
        <w:tab/>
      </w:r>
      <w:r>
        <w:fldChar w:fldCharType="begin"/>
      </w:r>
      <w:r>
        <w:instrText xml:space="preserve"> PAGEREF _Toc519450151 \h </w:instrText>
      </w:r>
      <w:r>
        <w:fldChar w:fldCharType="separate"/>
      </w:r>
      <w:r>
        <w:t>17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"_Toc519450152" </w:instrText>
      </w:r>
      <w:r>
        <w:fldChar w:fldCharType="separate"/>
      </w:r>
      <w:r>
        <w:rPr>
          <w:rStyle w:val="19"/>
        </w:rPr>
        <w:t>3</w:t>
      </w:r>
      <w:r>
        <w:rPr>
          <w:rStyle w:val="19"/>
          <w:rFonts w:hint="eastAsia"/>
        </w:rPr>
        <w:t>、年度参保缴费</w:t>
      </w:r>
      <w:r>
        <w:tab/>
      </w:r>
      <w:r>
        <w:fldChar w:fldCharType="begin"/>
      </w:r>
      <w:r>
        <w:instrText xml:space="preserve"> PAGEREF _Toc519450152 \h </w:instrText>
      </w:r>
      <w:r>
        <w:fldChar w:fldCharType="separate"/>
      </w:r>
      <w:r>
        <w:t>17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"_Toc519450153" </w:instrText>
      </w:r>
      <w:r>
        <w:fldChar w:fldCharType="separate"/>
      </w:r>
      <w:r>
        <w:rPr>
          <w:rStyle w:val="19"/>
        </w:rPr>
        <w:t>4</w:t>
      </w:r>
      <w:r>
        <w:rPr>
          <w:rStyle w:val="19"/>
          <w:rFonts w:hint="eastAsia"/>
        </w:rPr>
        <w:t>、逾期参保缴费</w:t>
      </w:r>
      <w:r>
        <w:tab/>
      </w:r>
      <w:r>
        <w:fldChar w:fldCharType="begin"/>
      </w:r>
      <w:r>
        <w:instrText xml:space="preserve"> PAGEREF _Toc519450153 \h </w:instrText>
      </w:r>
      <w:r>
        <w:fldChar w:fldCharType="separate"/>
      </w:r>
      <w:r>
        <w:t>17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"_Toc519450154" </w:instrText>
      </w:r>
      <w:r>
        <w:fldChar w:fldCharType="separate"/>
      </w:r>
      <w:r>
        <w:rPr>
          <w:rStyle w:val="19"/>
        </w:rPr>
        <w:t>5</w:t>
      </w:r>
      <w:r>
        <w:rPr>
          <w:rStyle w:val="19"/>
          <w:rFonts w:hint="eastAsia"/>
        </w:rPr>
        <w:t>、新生儿参保缴费</w:t>
      </w:r>
      <w:r>
        <w:tab/>
      </w:r>
      <w:r>
        <w:fldChar w:fldCharType="begin"/>
      </w:r>
      <w:r>
        <w:instrText xml:space="preserve"> PAGEREF _Toc519450154 \h </w:instrText>
      </w:r>
      <w:r>
        <w:fldChar w:fldCharType="separate"/>
      </w:r>
      <w:r>
        <w:t>17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"_Toc519450155" </w:instrText>
      </w:r>
      <w:r>
        <w:fldChar w:fldCharType="separate"/>
      </w:r>
      <w:r>
        <w:rPr>
          <w:rStyle w:val="19"/>
        </w:rPr>
        <w:t>6</w:t>
      </w:r>
      <w:r>
        <w:rPr>
          <w:rStyle w:val="19"/>
          <w:rFonts w:hint="eastAsia"/>
        </w:rPr>
        <w:t>、免缴对象</w:t>
      </w:r>
      <w:r>
        <w:tab/>
      </w:r>
      <w:r>
        <w:fldChar w:fldCharType="begin"/>
      </w:r>
      <w:r>
        <w:instrText xml:space="preserve"> PAGEREF _Toc519450155 \h </w:instrText>
      </w:r>
      <w:r>
        <w:fldChar w:fldCharType="separate"/>
      </w:r>
      <w:r>
        <w:t>18</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"_Toc519450156" </w:instrText>
      </w:r>
      <w:r>
        <w:fldChar w:fldCharType="separate"/>
      </w:r>
      <w:r>
        <w:rPr>
          <w:rStyle w:val="19"/>
        </w:rPr>
        <w:t>7</w:t>
      </w:r>
      <w:r>
        <w:rPr>
          <w:rStyle w:val="19"/>
          <w:rFonts w:hint="eastAsia"/>
        </w:rPr>
        <w:t>、城乡居民大病保险</w:t>
      </w:r>
      <w:r>
        <w:tab/>
      </w:r>
      <w:r>
        <w:fldChar w:fldCharType="begin"/>
      </w:r>
      <w:r>
        <w:instrText xml:space="preserve"> PAGEREF _Toc519450156 \h </w:instrText>
      </w:r>
      <w:r>
        <w:fldChar w:fldCharType="separate"/>
      </w:r>
      <w:r>
        <w:t>18</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"_Toc519450157" </w:instrText>
      </w:r>
      <w:r>
        <w:fldChar w:fldCharType="separate"/>
      </w:r>
      <w:r>
        <w:rPr>
          <w:rStyle w:val="19"/>
          <w:rFonts w:hint="eastAsia"/>
        </w:rPr>
        <w:t>（五）城乡医疗救助</w:t>
      </w:r>
      <w:r>
        <w:tab/>
      </w:r>
      <w:r>
        <w:fldChar w:fldCharType="begin"/>
      </w:r>
      <w:r>
        <w:instrText xml:space="preserve"> PAGEREF _Toc519450157 \h </w:instrText>
      </w:r>
      <w:r>
        <w:fldChar w:fldCharType="separate"/>
      </w:r>
      <w:r>
        <w:t>18</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"_Toc519450158" </w:instrText>
      </w:r>
      <w:r>
        <w:fldChar w:fldCharType="separate"/>
      </w:r>
      <w:r>
        <w:rPr>
          <w:rStyle w:val="19"/>
        </w:rPr>
        <w:t>1</w:t>
      </w:r>
      <w:r>
        <w:rPr>
          <w:rStyle w:val="19"/>
          <w:rFonts w:hint="eastAsia"/>
        </w:rPr>
        <w:t>、城乡医疗救助对象范围</w:t>
      </w:r>
      <w:r>
        <w:tab/>
      </w:r>
      <w:r>
        <w:fldChar w:fldCharType="begin"/>
      </w:r>
      <w:r>
        <w:instrText xml:space="preserve"> PAGEREF _Toc519450158 \h </w:instrText>
      </w:r>
      <w:r>
        <w:fldChar w:fldCharType="separate"/>
      </w:r>
      <w:r>
        <w:t>18</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"_Toc519450159" </w:instrText>
      </w:r>
      <w:r>
        <w:fldChar w:fldCharType="separate"/>
      </w:r>
      <w:r>
        <w:rPr>
          <w:rStyle w:val="19"/>
        </w:rPr>
        <w:t>2</w:t>
      </w:r>
      <w:r>
        <w:rPr>
          <w:rStyle w:val="19"/>
          <w:rFonts w:hint="eastAsia"/>
        </w:rPr>
        <w:t>、救助对象认定</w:t>
      </w:r>
      <w:r>
        <w:tab/>
      </w:r>
      <w:r>
        <w:fldChar w:fldCharType="begin"/>
      </w:r>
      <w:r>
        <w:instrText xml:space="preserve"> PAGEREF _Toc519450159 \h </w:instrText>
      </w:r>
      <w:r>
        <w:fldChar w:fldCharType="separate"/>
      </w:r>
      <w:r>
        <w:t>19</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"_Toc519450160" </w:instrText>
      </w:r>
      <w:r>
        <w:fldChar w:fldCharType="separate"/>
      </w:r>
      <w:r>
        <w:rPr>
          <w:rStyle w:val="19"/>
        </w:rPr>
        <w:t>3</w:t>
      </w:r>
      <w:r>
        <w:rPr>
          <w:rStyle w:val="19"/>
          <w:rFonts w:hint="eastAsia"/>
        </w:rPr>
        <w:t>、救助信息录入</w:t>
      </w:r>
      <w:r>
        <w:tab/>
      </w:r>
      <w:r>
        <w:fldChar w:fldCharType="begin"/>
      </w:r>
      <w:r>
        <w:instrText xml:space="preserve"> PAGEREF _Toc519450160 \h </w:instrText>
      </w:r>
      <w:r>
        <w:fldChar w:fldCharType="separate"/>
      </w:r>
      <w:r>
        <w:t>19</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"_Toc519450161" </w:instrText>
      </w:r>
      <w:r>
        <w:fldChar w:fldCharType="separate"/>
      </w:r>
      <w:r>
        <w:rPr>
          <w:rStyle w:val="19"/>
          <w:rFonts w:hint="eastAsia"/>
        </w:rPr>
        <w:t>二、医疗保障待遇</w:t>
      </w:r>
      <w:r>
        <w:tab/>
      </w:r>
      <w:r>
        <w:fldChar w:fldCharType="begin"/>
      </w:r>
      <w:r>
        <w:instrText xml:space="preserve"> PAGEREF _Toc519450161 \h </w:instrText>
      </w:r>
      <w:r>
        <w:fldChar w:fldCharType="separate"/>
      </w:r>
      <w:r>
        <w:t>20</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"_Toc519450162" </w:instrText>
      </w:r>
      <w:r>
        <w:fldChar w:fldCharType="separate"/>
      </w:r>
      <w:r>
        <w:rPr>
          <w:rStyle w:val="19"/>
          <w:rFonts w:hint="eastAsia"/>
        </w:rPr>
        <w:t>（一）职工医保</w:t>
      </w:r>
      <w:r>
        <w:tab/>
      </w:r>
      <w:r>
        <w:fldChar w:fldCharType="begin"/>
      </w:r>
      <w:r>
        <w:instrText xml:space="preserve"> PAGEREF _Toc519450162 \h </w:instrText>
      </w:r>
      <w:r>
        <w:fldChar w:fldCharType="separate"/>
      </w:r>
      <w:r>
        <w:t>20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"_Toc519450163" </w:instrText>
      </w:r>
      <w:r>
        <w:fldChar w:fldCharType="separate"/>
      </w:r>
      <w:r>
        <w:rPr>
          <w:rStyle w:val="19"/>
        </w:rPr>
        <w:t>1</w:t>
      </w:r>
      <w:r>
        <w:rPr>
          <w:rStyle w:val="19"/>
          <w:rFonts w:hint="eastAsia"/>
        </w:rPr>
        <w:t>、住院</w:t>
      </w:r>
      <w:r>
        <w:tab/>
      </w:r>
      <w:r>
        <w:fldChar w:fldCharType="begin"/>
      </w:r>
      <w:r>
        <w:instrText xml:space="preserve"> PAGEREF _Toc519450163 \h </w:instrText>
      </w:r>
      <w:r>
        <w:fldChar w:fldCharType="separate"/>
      </w:r>
      <w:r>
        <w:t>20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"_Toc519450164" </w:instrText>
      </w:r>
      <w:r>
        <w:fldChar w:fldCharType="separate"/>
      </w:r>
      <w:r>
        <w:rPr>
          <w:rStyle w:val="19"/>
        </w:rPr>
        <w:t>2</w:t>
      </w:r>
      <w:r>
        <w:rPr>
          <w:rStyle w:val="19"/>
          <w:rFonts w:hint="eastAsia"/>
        </w:rPr>
        <w:t>、门诊</w:t>
      </w:r>
      <w:r>
        <w:tab/>
      </w:r>
      <w:r>
        <w:fldChar w:fldCharType="begin"/>
      </w:r>
      <w:r>
        <w:instrText xml:space="preserve"> PAGEREF _Toc519450164 \h </w:instrText>
      </w:r>
      <w:r>
        <w:fldChar w:fldCharType="separate"/>
      </w:r>
      <w:r>
        <w:t>20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"_Toc519450165" </w:instrText>
      </w:r>
      <w:r>
        <w:fldChar w:fldCharType="separate"/>
      </w:r>
      <w:r>
        <w:rPr>
          <w:rStyle w:val="19"/>
        </w:rPr>
        <w:t>3</w:t>
      </w:r>
      <w:r>
        <w:rPr>
          <w:rStyle w:val="19"/>
          <w:rFonts w:hint="eastAsia"/>
        </w:rPr>
        <w:t>、门诊特殊病种</w:t>
      </w:r>
      <w:r>
        <w:tab/>
      </w:r>
      <w:r>
        <w:fldChar w:fldCharType="begin"/>
      </w:r>
      <w:r>
        <w:instrText xml:space="preserve"> PAGEREF _Toc519450165 \h </w:instrText>
      </w:r>
      <w:r>
        <w:fldChar w:fldCharType="separate"/>
      </w:r>
      <w:r>
        <w:t>21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"_Toc519450166" </w:instrText>
      </w:r>
      <w:r>
        <w:fldChar w:fldCharType="separate"/>
      </w:r>
      <w:r>
        <w:rPr>
          <w:rStyle w:val="19"/>
          <w:rFonts w:cs="宋体"/>
        </w:rPr>
        <w:t>4</w:t>
      </w:r>
      <w:r>
        <w:rPr>
          <w:rStyle w:val="19"/>
          <w:rFonts w:hint="eastAsia" w:cs="宋体"/>
        </w:rPr>
        <w:t>、</w:t>
      </w:r>
      <w:r>
        <w:rPr>
          <w:rStyle w:val="19"/>
          <w:rFonts w:hint="eastAsia"/>
        </w:rPr>
        <w:t>大额医疗费用商业补充保险</w:t>
      </w:r>
      <w:r>
        <w:tab/>
      </w:r>
      <w:r>
        <w:fldChar w:fldCharType="begin"/>
      </w:r>
      <w:r>
        <w:instrText xml:space="preserve"> PAGEREF _Toc519450166 \h </w:instrText>
      </w:r>
      <w:r>
        <w:fldChar w:fldCharType="separate"/>
      </w:r>
      <w:r>
        <w:t>22</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"_Toc519450167" </w:instrText>
      </w:r>
      <w:r>
        <w:fldChar w:fldCharType="separate"/>
      </w:r>
      <w:r>
        <w:rPr>
          <w:rStyle w:val="19"/>
        </w:rPr>
        <w:t>5</w:t>
      </w:r>
      <w:r>
        <w:rPr>
          <w:rStyle w:val="19"/>
          <w:rFonts w:hint="eastAsia"/>
        </w:rPr>
        <w:t>、结算</w:t>
      </w:r>
      <w:r>
        <w:tab/>
      </w:r>
      <w:r>
        <w:fldChar w:fldCharType="begin"/>
      </w:r>
      <w:r>
        <w:instrText xml:space="preserve"> PAGEREF _Toc519450167 \h </w:instrText>
      </w:r>
      <w:r>
        <w:fldChar w:fldCharType="separate"/>
      </w:r>
      <w:r>
        <w:t>22</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"_Toc519450168" </w:instrText>
      </w:r>
      <w:r>
        <w:fldChar w:fldCharType="separate"/>
      </w:r>
      <w:r>
        <w:rPr>
          <w:rStyle w:val="19"/>
        </w:rPr>
        <w:t>6</w:t>
      </w:r>
      <w:r>
        <w:rPr>
          <w:rStyle w:val="19"/>
          <w:rFonts w:hint="eastAsia"/>
        </w:rPr>
        <w:t>、首次参保待遇</w:t>
      </w:r>
      <w:r>
        <w:tab/>
      </w:r>
      <w:r>
        <w:fldChar w:fldCharType="begin"/>
      </w:r>
      <w:r>
        <w:instrText xml:space="preserve"> PAGEREF _Toc519450168 \h </w:instrText>
      </w:r>
      <w:r>
        <w:fldChar w:fldCharType="separate"/>
      </w:r>
      <w:r>
        <w:t>23</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"_Toc519450169" </w:instrText>
      </w:r>
      <w:r>
        <w:fldChar w:fldCharType="separate"/>
      </w:r>
      <w:r>
        <w:rPr>
          <w:rStyle w:val="19"/>
        </w:rPr>
        <w:t>7</w:t>
      </w:r>
      <w:r>
        <w:rPr>
          <w:rStyle w:val="19"/>
          <w:rFonts w:hint="eastAsia"/>
        </w:rPr>
        <w:t>、医保关系中断接续及待遇</w:t>
      </w:r>
      <w:r>
        <w:tab/>
      </w:r>
      <w:r>
        <w:fldChar w:fldCharType="begin"/>
      </w:r>
      <w:r>
        <w:instrText xml:space="preserve"> PAGEREF _Toc519450169 \h </w:instrText>
      </w:r>
      <w:r>
        <w:fldChar w:fldCharType="separate"/>
      </w:r>
      <w:r>
        <w:t>23</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"_Toc519450170" </w:instrText>
      </w:r>
      <w:r>
        <w:fldChar w:fldCharType="separate"/>
      </w:r>
      <w:r>
        <w:rPr>
          <w:rStyle w:val="19"/>
          <w:rFonts w:hint="eastAsia"/>
        </w:rPr>
        <w:t>（二）公务员医疗补助</w:t>
      </w:r>
      <w:r>
        <w:tab/>
      </w:r>
      <w:r>
        <w:fldChar w:fldCharType="begin"/>
      </w:r>
      <w:r>
        <w:instrText xml:space="preserve"> PAGEREF _Toc519450170 \h </w:instrText>
      </w:r>
      <w:r>
        <w:fldChar w:fldCharType="separate"/>
      </w:r>
      <w:r>
        <w:t>24</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"_Toc519450171" </w:instrText>
      </w:r>
      <w:r>
        <w:fldChar w:fldCharType="separate"/>
      </w:r>
      <w:r>
        <w:rPr>
          <w:rStyle w:val="19"/>
        </w:rPr>
        <w:t>1</w:t>
      </w:r>
      <w:r>
        <w:rPr>
          <w:rStyle w:val="19"/>
          <w:rFonts w:hint="eastAsia"/>
        </w:rPr>
        <w:t>、医疗补助对象及相关待遇</w:t>
      </w:r>
      <w:r>
        <w:tab/>
      </w:r>
      <w:r>
        <w:fldChar w:fldCharType="begin"/>
      </w:r>
      <w:r>
        <w:instrText xml:space="preserve"> PAGEREF _Toc519450171 \h </w:instrText>
      </w:r>
      <w:r>
        <w:fldChar w:fldCharType="separate"/>
      </w:r>
      <w:r>
        <w:t>24</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"_Toc519450172" </w:instrText>
      </w:r>
      <w:r>
        <w:fldChar w:fldCharType="separate"/>
      </w:r>
      <w:r>
        <w:rPr>
          <w:rStyle w:val="19"/>
        </w:rPr>
        <w:t>2</w:t>
      </w:r>
      <w:r>
        <w:rPr>
          <w:rStyle w:val="19"/>
          <w:rFonts w:hint="eastAsia"/>
        </w:rPr>
        <w:t>、医疗补助定点医院</w:t>
      </w:r>
      <w:r>
        <w:tab/>
      </w:r>
      <w:r>
        <w:fldChar w:fldCharType="begin"/>
      </w:r>
      <w:r>
        <w:instrText xml:space="preserve"> PAGEREF _Toc519450172 \h </w:instrText>
      </w:r>
      <w:r>
        <w:fldChar w:fldCharType="separate"/>
      </w:r>
      <w:r>
        <w:t>25</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"_Toc519450173" </w:instrText>
      </w:r>
      <w:r>
        <w:fldChar w:fldCharType="separate"/>
      </w:r>
      <w:r>
        <w:rPr>
          <w:rStyle w:val="19"/>
          <w:rFonts w:hint="eastAsia"/>
        </w:rPr>
        <w:t>（三）职工生育保险</w:t>
      </w:r>
      <w:r>
        <w:tab/>
      </w:r>
      <w:r>
        <w:fldChar w:fldCharType="begin"/>
      </w:r>
      <w:r>
        <w:instrText xml:space="preserve"> PAGEREF _Toc519450173 \h </w:instrText>
      </w:r>
      <w:r>
        <w:fldChar w:fldCharType="separate"/>
      </w:r>
      <w:r>
        <w:t>25</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"_Toc519450174" </w:instrText>
      </w:r>
      <w:r>
        <w:fldChar w:fldCharType="separate"/>
      </w:r>
      <w:r>
        <w:rPr>
          <w:rStyle w:val="19"/>
        </w:rPr>
        <w:t>1</w:t>
      </w:r>
      <w:r>
        <w:rPr>
          <w:rStyle w:val="19"/>
          <w:rFonts w:hint="eastAsia"/>
        </w:rPr>
        <w:t>、生育医疗费用</w:t>
      </w:r>
      <w:r>
        <w:tab/>
      </w:r>
      <w:r>
        <w:fldChar w:fldCharType="begin"/>
      </w:r>
      <w:r>
        <w:instrText xml:space="preserve"> PAGEREF _Toc519450174 \h </w:instrText>
      </w:r>
      <w:r>
        <w:fldChar w:fldCharType="separate"/>
      </w:r>
      <w:r>
        <w:t>25</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"_Toc519450175" </w:instrText>
      </w:r>
      <w:r>
        <w:fldChar w:fldCharType="separate"/>
      </w:r>
      <w:r>
        <w:rPr>
          <w:rStyle w:val="19"/>
        </w:rPr>
        <w:t>2</w:t>
      </w:r>
      <w:r>
        <w:rPr>
          <w:rStyle w:val="19"/>
          <w:rFonts w:hint="eastAsia"/>
        </w:rPr>
        <w:t>、生育津贴</w:t>
      </w:r>
      <w:r>
        <w:tab/>
      </w:r>
      <w:r>
        <w:fldChar w:fldCharType="begin"/>
      </w:r>
      <w:r>
        <w:instrText xml:space="preserve"> PAGEREF _Toc519450175 \h </w:instrText>
      </w:r>
      <w:r>
        <w:fldChar w:fldCharType="separate"/>
      </w:r>
      <w:r>
        <w:t>25</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"_Toc519450176" </w:instrText>
      </w:r>
      <w:r>
        <w:fldChar w:fldCharType="separate"/>
      </w:r>
      <w:r>
        <w:rPr>
          <w:rStyle w:val="19"/>
        </w:rPr>
        <w:t>3</w:t>
      </w:r>
      <w:r>
        <w:rPr>
          <w:rStyle w:val="19"/>
          <w:rFonts w:hint="eastAsia"/>
        </w:rPr>
        <w:t>、其他情况</w:t>
      </w:r>
      <w:r>
        <w:tab/>
      </w:r>
      <w:r>
        <w:fldChar w:fldCharType="begin"/>
      </w:r>
      <w:r>
        <w:instrText xml:space="preserve"> PAGEREF _Toc519450176 \h </w:instrText>
      </w:r>
      <w:r>
        <w:fldChar w:fldCharType="separate"/>
      </w:r>
      <w:r>
        <w:t>26</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"_Toc519450177" </w:instrText>
      </w:r>
      <w:r>
        <w:fldChar w:fldCharType="separate"/>
      </w:r>
      <w:r>
        <w:rPr>
          <w:rStyle w:val="19"/>
          <w:rFonts w:hint="eastAsia"/>
        </w:rPr>
        <w:t>（四）城乡居民医保</w:t>
      </w:r>
      <w:r>
        <w:tab/>
      </w:r>
      <w:r>
        <w:fldChar w:fldCharType="begin"/>
      </w:r>
      <w:r>
        <w:instrText xml:space="preserve"> PAGEREF _Toc519450177 \h </w:instrText>
      </w:r>
      <w:r>
        <w:fldChar w:fldCharType="separate"/>
      </w:r>
      <w:r>
        <w:t>26</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"_Toc519450178" </w:instrText>
      </w:r>
      <w:r>
        <w:fldChar w:fldCharType="separate"/>
      </w:r>
      <w:r>
        <w:rPr>
          <w:rStyle w:val="19"/>
        </w:rPr>
        <w:t>1</w:t>
      </w:r>
      <w:r>
        <w:rPr>
          <w:rStyle w:val="19"/>
          <w:rFonts w:hint="eastAsia"/>
        </w:rPr>
        <w:t>、住院</w:t>
      </w:r>
      <w:r>
        <w:tab/>
      </w:r>
      <w:r>
        <w:fldChar w:fldCharType="begin"/>
      </w:r>
      <w:r>
        <w:instrText xml:space="preserve"> PAGEREF _Toc519450178 \h </w:instrText>
      </w:r>
      <w:r>
        <w:fldChar w:fldCharType="separate"/>
      </w:r>
      <w:r>
        <w:t>26</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"_Toc519450179" </w:instrText>
      </w:r>
      <w:r>
        <w:fldChar w:fldCharType="separate"/>
      </w:r>
      <w:r>
        <w:rPr>
          <w:rStyle w:val="19"/>
        </w:rPr>
        <w:t>2</w:t>
      </w:r>
      <w:r>
        <w:rPr>
          <w:rStyle w:val="19"/>
          <w:rFonts w:hint="eastAsia"/>
        </w:rPr>
        <w:t>、门诊特殊病种</w:t>
      </w:r>
      <w:r>
        <w:tab/>
      </w:r>
      <w:r>
        <w:fldChar w:fldCharType="begin"/>
      </w:r>
      <w:r>
        <w:instrText xml:space="preserve"> PAGEREF _Toc519450179 \h </w:instrText>
      </w:r>
      <w:r>
        <w:fldChar w:fldCharType="separate"/>
      </w:r>
      <w:r>
        <w:t>27</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"_Toc519450180" </w:instrText>
      </w:r>
      <w:r>
        <w:fldChar w:fldCharType="separate"/>
      </w:r>
      <w:r>
        <w:rPr>
          <w:rStyle w:val="19"/>
        </w:rPr>
        <w:t>3</w:t>
      </w:r>
      <w:r>
        <w:rPr>
          <w:rStyle w:val="19"/>
          <w:rFonts w:hint="eastAsia"/>
        </w:rPr>
        <w:t>、门诊统筹</w:t>
      </w:r>
      <w:r>
        <w:tab/>
      </w:r>
      <w:r>
        <w:fldChar w:fldCharType="begin"/>
      </w:r>
      <w:r>
        <w:instrText xml:space="preserve"> PAGEREF _Toc519450180 \h </w:instrText>
      </w:r>
      <w:r>
        <w:fldChar w:fldCharType="separate"/>
      </w:r>
      <w:r>
        <w:t>30</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"_Toc519450181" </w:instrText>
      </w:r>
      <w:r>
        <w:fldChar w:fldCharType="separate"/>
      </w:r>
      <w:r>
        <w:rPr>
          <w:rStyle w:val="19"/>
          <w:rFonts w:cs="宋体"/>
        </w:rPr>
        <w:t>4</w:t>
      </w:r>
      <w:r>
        <w:rPr>
          <w:rStyle w:val="19"/>
          <w:rFonts w:hint="eastAsia" w:cs="宋体"/>
        </w:rPr>
        <w:t>、</w:t>
      </w:r>
      <w:r>
        <w:rPr>
          <w:rStyle w:val="19"/>
          <w:rFonts w:hint="eastAsia"/>
          <w:lang w:val="zh-CN"/>
        </w:rPr>
        <w:t>城乡居民大病保险</w:t>
      </w:r>
      <w:r>
        <w:tab/>
      </w:r>
      <w:r>
        <w:fldChar w:fldCharType="begin"/>
      </w:r>
      <w:r>
        <w:instrText xml:space="preserve"> PAGEREF _Toc519450181 \h </w:instrText>
      </w:r>
      <w:r>
        <w:fldChar w:fldCharType="separate"/>
      </w:r>
      <w:r>
        <w:t>30</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"_Toc519450182" </w:instrText>
      </w:r>
      <w:r>
        <w:fldChar w:fldCharType="separate"/>
      </w:r>
      <w:r>
        <w:rPr>
          <w:rStyle w:val="19"/>
          <w:rFonts w:hint="eastAsia"/>
        </w:rPr>
        <w:t>（五）城乡医疗救助</w:t>
      </w:r>
      <w:r>
        <w:tab/>
      </w:r>
      <w:r>
        <w:fldChar w:fldCharType="begin"/>
      </w:r>
      <w:r>
        <w:instrText xml:space="preserve"> PAGEREF _Toc519450182 \h </w:instrText>
      </w:r>
      <w:r>
        <w:fldChar w:fldCharType="separate"/>
      </w:r>
      <w:r>
        <w:t>31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"_Toc519450183" </w:instrText>
      </w:r>
      <w:r>
        <w:fldChar w:fldCharType="separate"/>
      </w:r>
      <w:r>
        <w:rPr>
          <w:rStyle w:val="19"/>
        </w:rPr>
        <w:t>1</w:t>
      </w:r>
      <w:r>
        <w:rPr>
          <w:rStyle w:val="19"/>
          <w:rFonts w:hint="eastAsia"/>
        </w:rPr>
        <w:t>、特殊门诊救助</w:t>
      </w:r>
      <w:r>
        <w:tab/>
      </w:r>
      <w:r>
        <w:fldChar w:fldCharType="begin"/>
      </w:r>
      <w:r>
        <w:instrText xml:space="preserve"> PAGEREF _Toc519450183 \h </w:instrText>
      </w:r>
      <w:r>
        <w:fldChar w:fldCharType="separate"/>
      </w:r>
      <w:r>
        <w:t>31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"_Toc519450184" </w:instrText>
      </w:r>
      <w:r>
        <w:fldChar w:fldCharType="separate"/>
      </w:r>
      <w:r>
        <w:rPr>
          <w:rStyle w:val="19"/>
        </w:rPr>
        <w:t>2</w:t>
      </w:r>
      <w:r>
        <w:rPr>
          <w:rStyle w:val="19"/>
          <w:rFonts w:hint="eastAsia"/>
        </w:rPr>
        <w:t>、住院救助</w:t>
      </w:r>
      <w:r>
        <w:tab/>
      </w:r>
      <w:r>
        <w:fldChar w:fldCharType="begin"/>
      </w:r>
      <w:r>
        <w:instrText xml:space="preserve"> PAGEREF _Toc519450184 \h </w:instrText>
      </w:r>
      <w:r>
        <w:fldChar w:fldCharType="separate"/>
      </w:r>
      <w:r>
        <w:t>31</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"_Toc519450185" </w:instrText>
      </w:r>
      <w:r>
        <w:fldChar w:fldCharType="separate"/>
      </w:r>
      <w:r>
        <w:rPr>
          <w:rStyle w:val="19"/>
        </w:rPr>
        <w:t>3</w:t>
      </w:r>
      <w:r>
        <w:rPr>
          <w:rStyle w:val="19"/>
          <w:rFonts w:hint="eastAsia"/>
        </w:rPr>
        <w:t>、一次性定额救助</w:t>
      </w:r>
      <w:r>
        <w:tab/>
      </w:r>
      <w:r>
        <w:fldChar w:fldCharType="begin"/>
      </w:r>
      <w:r>
        <w:instrText xml:space="preserve"> PAGEREF _Toc519450185 \h </w:instrText>
      </w:r>
      <w:r>
        <w:fldChar w:fldCharType="separate"/>
      </w:r>
      <w:r>
        <w:t>32</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"_Toc519450186" </w:instrText>
      </w:r>
      <w:r>
        <w:fldChar w:fldCharType="separate"/>
      </w:r>
      <w:r>
        <w:rPr>
          <w:rStyle w:val="19"/>
        </w:rPr>
        <w:t>4</w:t>
      </w:r>
      <w:r>
        <w:rPr>
          <w:rStyle w:val="19"/>
          <w:rFonts w:hint="eastAsia"/>
        </w:rPr>
        <w:t>、重特大疾病救助</w:t>
      </w:r>
      <w:r>
        <w:tab/>
      </w:r>
      <w:r>
        <w:fldChar w:fldCharType="begin"/>
      </w:r>
      <w:r>
        <w:instrText xml:space="preserve"> PAGEREF _Toc519450186 \h </w:instrText>
      </w:r>
      <w:r>
        <w:fldChar w:fldCharType="separate"/>
      </w:r>
      <w:r>
        <w:t>32</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"_Toc519450187" </w:instrText>
      </w:r>
      <w:r>
        <w:fldChar w:fldCharType="separate"/>
      </w:r>
      <w:r>
        <w:rPr>
          <w:rStyle w:val="19"/>
          <w:rFonts w:hint="eastAsia"/>
        </w:rPr>
        <w:t>（六）精准扶贫医疗叠加保险</w:t>
      </w:r>
      <w:r>
        <w:tab/>
      </w:r>
      <w:r>
        <w:fldChar w:fldCharType="begin"/>
      </w:r>
      <w:r>
        <w:instrText xml:space="preserve"> PAGEREF _Toc519450187 \h </w:instrText>
      </w:r>
      <w:r>
        <w:fldChar w:fldCharType="separate"/>
      </w:r>
      <w:r>
        <w:t>33</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"_Toc519450188" </w:instrText>
      </w:r>
      <w:r>
        <w:fldChar w:fldCharType="separate"/>
      </w:r>
      <w:r>
        <w:rPr>
          <w:rStyle w:val="19"/>
        </w:rPr>
        <w:t>1</w:t>
      </w:r>
      <w:r>
        <w:rPr>
          <w:rStyle w:val="19"/>
          <w:rFonts w:hint="eastAsia"/>
        </w:rPr>
        <w:t>、“第一道”补助</w:t>
      </w:r>
      <w:r>
        <w:tab/>
      </w:r>
      <w:r>
        <w:fldChar w:fldCharType="begin"/>
      </w:r>
      <w:r>
        <w:instrText xml:space="preserve"> PAGEREF _Toc519450188 \h </w:instrText>
      </w:r>
      <w:r>
        <w:fldChar w:fldCharType="separate"/>
      </w:r>
      <w:r>
        <w:t>33</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"_Toc519450189" </w:instrText>
      </w:r>
      <w:r>
        <w:fldChar w:fldCharType="separate"/>
      </w:r>
      <w:r>
        <w:rPr>
          <w:rStyle w:val="19"/>
        </w:rPr>
        <w:t>2</w:t>
      </w:r>
      <w:r>
        <w:rPr>
          <w:rStyle w:val="19"/>
          <w:rFonts w:hint="eastAsia"/>
        </w:rPr>
        <w:t>、“第二道”救助</w:t>
      </w:r>
      <w:r>
        <w:tab/>
      </w:r>
      <w:r>
        <w:fldChar w:fldCharType="begin"/>
      </w:r>
      <w:r>
        <w:instrText xml:space="preserve"> PAGEREF _Toc519450189 \h </w:instrText>
      </w:r>
      <w:r>
        <w:fldChar w:fldCharType="separate"/>
      </w:r>
      <w:r>
        <w:t>33</w:t>
      </w:r>
      <w:r>
        <w:fldChar w:fldCharType="end"/>
      </w:r>
      <w:r>
        <w:fldChar w:fldCharType="end"/>
      </w:r>
    </w:p>
    <w:p>
      <w:pPr>
        <w:pStyle w:val="11"/>
        <w:tabs>
          <w:tab w:val="right" w:leader="dot" w:pos="8296"/>
        </w:tabs>
        <w:ind w:left="440"/>
        <w:rPr>
          <w:rFonts w:ascii="Calibri" w:hAnsi="Calibri"/>
          <w:szCs w:val="22"/>
        </w:rPr>
      </w:pPr>
      <w:r>
        <w:fldChar w:fldCharType="begin"/>
      </w:r>
      <w:r>
        <w:instrText xml:space="preserve"> HYPERLINK \l "_Toc519450190" </w:instrText>
      </w:r>
      <w:r>
        <w:fldChar w:fldCharType="separate"/>
      </w:r>
      <w:r>
        <w:rPr>
          <w:rStyle w:val="19"/>
        </w:rPr>
        <w:t>3</w:t>
      </w:r>
      <w:r>
        <w:rPr>
          <w:rStyle w:val="19"/>
          <w:rFonts w:hint="eastAsia"/>
        </w:rPr>
        <w:t>、家庭医生签约个人缴费</w:t>
      </w:r>
      <w:r>
        <w:tab/>
      </w:r>
      <w:r>
        <w:fldChar w:fldCharType="begin"/>
      </w:r>
      <w:r>
        <w:instrText xml:space="preserve"> PAGEREF _Toc519450190 \h </w:instrText>
      </w:r>
      <w:r>
        <w:fldChar w:fldCharType="separate"/>
      </w:r>
      <w:r>
        <w:t>34</w:t>
      </w:r>
      <w:r>
        <w:fldChar w:fldCharType="end"/>
      </w:r>
      <w:r>
        <w:fldChar w:fldCharType="end"/>
      </w:r>
    </w:p>
    <w:p>
      <w:pPr>
        <w:pStyle w:val="9"/>
        <w:tabs>
          <w:tab w:val="right" w:leader="dot" w:pos="8296"/>
        </w:tabs>
        <w:rPr>
          <w:rFonts w:ascii="Calibri" w:hAnsi="Calibri"/>
          <w:szCs w:val="22"/>
        </w:rPr>
      </w:pPr>
      <w:r>
        <w:fldChar w:fldCharType="begin"/>
      </w:r>
      <w:r>
        <w:instrText xml:space="preserve"> HYPERLINK \l "_Toc519450191" </w:instrText>
      </w:r>
      <w:r>
        <w:fldChar w:fldCharType="separate"/>
      </w:r>
      <w:r>
        <w:rPr>
          <w:rStyle w:val="19"/>
          <w:rFonts w:hint="eastAsia"/>
        </w:rPr>
        <w:t>（七）实行备案登记的药品目录</w:t>
      </w:r>
      <w:r>
        <w:tab/>
      </w:r>
      <w:r>
        <w:fldChar w:fldCharType="begin"/>
      </w:r>
      <w:r>
        <w:instrText xml:space="preserve"> PAGEREF _Toc519450191 \h </w:instrText>
      </w:r>
      <w:r>
        <w:fldChar w:fldCharType="separate"/>
      </w:r>
      <w:r>
        <w:t>34</w:t>
      </w:r>
      <w:r>
        <w:fldChar w:fldCharType="end"/>
      </w:r>
      <w:r>
        <w:fldChar w:fldCharType="end"/>
      </w:r>
    </w:p>
    <w:p>
      <w:r>
        <w:rPr>
          <w:b/>
          <w:bCs/>
          <w:lang w:val="zh-CN"/>
        </w:rPr>
        <w:fldChar w:fldCharType="end"/>
      </w:r>
    </w:p>
    <w:p>
      <w:pPr>
        <w:rPr>
          <w:rFonts w:ascii="方正小标宋简体" w:hAnsi="仿宋" w:eastAsia="方正小标宋简体"/>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pStyle w:val="13"/>
        <w:spacing w:line="560" w:lineRule="exact"/>
        <w:jc w:val="left"/>
        <w:rPr>
          <w:rFonts w:hint="eastAsia"/>
        </w:rPr>
      </w:pPr>
      <w:bookmarkStart w:id="0" w:name="_Toc519450128"/>
      <w:r>
        <w:rPr>
          <w:rFonts w:hint="eastAsia"/>
        </w:rPr>
        <w:t>一、参保与征缴</w:t>
      </w:r>
      <w:bookmarkEnd w:id="0"/>
    </w:p>
    <w:p>
      <w:pPr>
        <w:pStyle w:val="2"/>
        <w:spacing w:line="560" w:lineRule="exact"/>
        <w:rPr>
          <w:rFonts w:hint="eastAsia"/>
        </w:rPr>
      </w:pPr>
      <w:bookmarkStart w:id="1" w:name="_Toc519450129"/>
      <w:r>
        <w:rPr>
          <w:rFonts w:hint="eastAsia"/>
        </w:rPr>
        <w:t>（一）职工医保</w:t>
      </w:r>
      <w:bookmarkEnd w:id="1"/>
    </w:p>
    <w:p>
      <w:pPr>
        <w:pStyle w:val="10"/>
        <w:spacing w:line="560" w:lineRule="exact"/>
        <w:rPr>
          <w:rFonts w:hint="eastAsia"/>
        </w:rPr>
      </w:pPr>
      <w:bookmarkStart w:id="2" w:name="_Toc519450130"/>
      <w:r>
        <w:rPr>
          <w:rFonts w:hint="eastAsia"/>
        </w:rPr>
        <w:t>1、参保范围</w:t>
      </w:r>
      <w:bookmarkEnd w:id="2"/>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我市辖区内所有用人单位及其职工、无雇工的个体工商户、未在用人单位参加职工基本医疗保险的非全日制从业人员以及其他灵活就业人员。</w:t>
      </w:r>
    </w:p>
    <w:p>
      <w:pPr>
        <w:pStyle w:val="10"/>
        <w:spacing w:line="560" w:lineRule="exact"/>
        <w:rPr>
          <w:rFonts w:hint="eastAsia"/>
        </w:rPr>
      </w:pPr>
      <w:bookmarkStart w:id="3" w:name="_Toc519450131"/>
      <w:r>
        <w:rPr>
          <w:rFonts w:hint="eastAsia"/>
        </w:rPr>
        <w:t>2、缴费基数</w:t>
      </w:r>
      <w:bookmarkEnd w:id="3"/>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最低为我市上年度城镇单位在岗职工月平均工资的60%，最高为我市上年度城镇单位在岗职工月平均工资的300%。</w:t>
      </w:r>
    </w:p>
    <w:p>
      <w:pPr>
        <w:pStyle w:val="10"/>
        <w:spacing w:line="560" w:lineRule="exact"/>
        <w:rPr>
          <w:rFonts w:hint="eastAsia"/>
        </w:rPr>
      </w:pPr>
      <w:bookmarkStart w:id="4" w:name="_Toc519450132"/>
      <w:r>
        <w:rPr>
          <w:rFonts w:hint="eastAsia"/>
        </w:rPr>
        <w:t>3、普通职工参保缴费</w:t>
      </w:r>
      <w:bookmarkEnd w:id="4"/>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用人单位按其职工月工资总额的7%缴纳基本医疗保险费，职工个人按其月工资总额的2%缴纳基本医疗保险费，由用人单位从其工资中代扣代缴。</w:t>
      </w:r>
    </w:p>
    <w:p>
      <w:pPr>
        <w:pStyle w:val="10"/>
        <w:spacing w:line="560" w:lineRule="exact"/>
        <w:rPr>
          <w:rFonts w:hint="eastAsia"/>
        </w:rPr>
      </w:pPr>
      <w:bookmarkStart w:id="5" w:name="_Toc519450133"/>
      <w:r>
        <w:rPr>
          <w:rFonts w:hint="eastAsia"/>
        </w:rPr>
        <w:t>4、灵活就业参保缴费</w:t>
      </w:r>
      <w:bookmarkEnd w:id="5"/>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以灵活就业人员身份参加职工基本医疗保险的，按9%的费率由个人全额缴费。</w:t>
      </w:r>
    </w:p>
    <w:p>
      <w:pPr>
        <w:pStyle w:val="10"/>
        <w:spacing w:line="560" w:lineRule="exact"/>
        <w:rPr>
          <w:rFonts w:hint="eastAsia"/>
        </w:rPr>
      </w:pPr>
      <w:bookmarkStart w:id="6" w:name="_Toc519450134"/>
      <w:r>
        <w:rPr>
          <w:rFonts w:hint="eastAsia"/>
        </w:rPr>
        <w:t>5、提前退休人员参保缴费</w:t>
      </w:r>
      <w:bookmarkEnd w:id="6"/>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除按国务院﹝1978﹞104号文件规定办理退休的退休人员外，其他类型提前退休人员的医疗保险以本人提前退休后工资性收入的退休金为基数，分别按单位7%和个人2%的缴费比例计算缴纳至</w:t>
      </w:r>
      <w:r>
        <w:rPr>
          <w:rFonts w:ascii="仿宋" w:hAnsi="仿宋" w:eastAsia="仿宋"/>
          <w:sz w:val="32"/>
          <w:szCs w:val="32"/>
        </w:rPr>
        <w:t>法定退休年龄</w:t>
      </w:r>
      <w:r>
        <w:rPr>
          <w:rFonts w:hint="eastAsia" w:ascii="仿宋" w:hAnsi="仿宋" w:eastAsia="仿宋"/>
          <w:sz w:val="32"/>
          <w:szCs w:val="32"/>
        </w:rPr>
        <w:t>。</w:t>
      </w:r>
    </w:p>
    <w:p>
      <w:pPr>
        <w:pStyle w:val="10"/>
        <w:spacing w:line="560" w:lineRule="exact"/>
        <w:rPr>
          <w:rFonts w:hint="eastAsia"/>
        </w:rPr>
      </w:pPr>
      <w:bookmarkStart w:id="7" w:name="_Toc519450135"/>
      <w:r>
        <w:rPr>
          <w:rFonts w:hint="eastAsia"/>
        </w:rPr>
        <w:t>6、芗城区无军籍退休职工医疗保险费的缴纳</w:t>
      </w:r>
      <w:bookmarkEnd w:id="7"/>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芗城区无军籍退休职工按每人每月基本退休金的7%计算其缴费金额，统一由区民政局每季度的第一个月向市医管中心缴纳基本医疗保险费。</w:t>
      </w:r>
    </w:p>
    <w:p>
      <w:pPr>
        <w:pStyle w:val="10"/>
        <w:spacing w:line="560" w:lineRule="exact"/>
        <w:rPr>
          <w:rFonts w:hint="eastAsia"/>
        </w:rPr>
      </w:pPr>
      <w:bookmarkStart w:id="8" w:name="_Toc519450136"/>
      <w:r>
        <w:rPr>
          <w:rFonts w:hint="eastAsia"/>
        </w:rPr>
        <w:t>7、移交政府安置的军队退休干部、退休士官医疗保险费的缴纳</w:t>
      </w:r>
      <w:bookmarkEnd w:id="8"/>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以每年1月份所属对象参保人数为基数，按当年中央财政下达的军休人员医疗补助标准由市军休所、军休二所代为全额缴交市医管中心。</w:t>
      </w:r>
    </w:p>
    <w:p>
      <w:pPr>
        <w:pStyle w:val="10"/>
        <w:spacing w:line="560" w:lineRule="exact"/>
        <w:rPr>
          <w:rFonts w:hint="eastAsia"/>
        </w:rPr>
      </w:pPr>
      <w:bookmarkStart w:id="9" w:name="_Toc519450137"/>
      <w:r>
        <w:rPr>
          <w:rFonts w:hint="eastAsia"/>
        </w:rPr>
        <w:t>8、职工医保个人帐户划拨比例</w:t>
      </w:r>
      <w:bookmarkEnd w:id="9"/>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40周岁及以下的按本人月缴费工资的2.8%划拨；41周岁及以上至法定退休年龄按本人月缴费工资的3.5%划拨；退休人员按社会养老保险经办机构或国库发放的退休金的4.5%划拨；退休人员其划拨基数低于当年度灵活就业人员缴费标准的，以当年度灵活就业人员缴费标准作为划拨基数按4.5</w:t>
      </w:r>
      <w:r>
        <w:rPr>
          <w:rFonts w:ascii="仿宋" w:hAnsi="仿宋" w:eastAsia="仿宋"/>
          <w:sz w:val="32"/>
          <w:szCs w:val="32"/>
        </w:rPr>
        <w:t>%划拨</w:t>
      </w:r>
      <w:r>
        <w:rPr>
          <w:rFonts w:hint="eastAsia" w:ascii="仿宋" w:hAnsi="仿宋" w:eastAsia="仿宋"/>
          <w:sz w:val="32"/>
          <w:szCs w:val="32"/>
        </w:rPr>
        <w:t>。</w:t>
      </w:r>
    </w:p>
    <w:p>
      <w:pPr>
        <w:pStyle w:val="10"/>
        <w:spacing w:line="560" w:lineRule="exact"/>
        <w:rPr>
          <w:rFonts w:hint="eastAsia"/>
        </w:rPr>
      </w:pPr>
      <w:bookmarkStart w:id="10" w:name="_Toc519450138"/>
      <w:r>
        <w:rPr>
          <w:rFonts w:hint="eastAsia"/>
        </w:rPr>
        <w:t>9、缴费年限的确认及</w:t>
      </w:r>
      <w:r>
        <w:t>补缴</w:t>
      </w:r>
      <w:bookmarkEnd w:id="10"/>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（1）可视同缴费年限的工龄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原在国家机关、事业单位、国有企业及国有控股企业、县以上集体企业、城镇集体企业等符合国家视同缴费规定的累计工龄；经县以上劳动（人事）部门批准招工的县以下城镇集体（含街居）企业的连续工龄；1996年1月1日以后与国有及国有控股企业、县以上集体企业签订劳动合同的人员（包括统配的大中专毕业生、退伍军人、国有集体企业调入人员等）的工作年限；军人服现役年限或参加军人退役医疗保险的年限（包括实施职工基本医疗保险制度后）；临时工被单位录取为正式职工以后，其最后一次在本单位当临时工的工作年限（经认定可合并计算的连续工龄）等。</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（2）不再视同缴费年限的工龄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被开除公职的判刑和劳教人员在职工基本医疗保险制度前连续工龄不再视同职工基本医疗保险视同缴费年限。 </w:t>
      </w:r>
      <w:r>
        <w:rPr>
          <w:rFonts w:ascii="仿宋" w:hAnsi="仿宋" w:eastAsia="仿宋"/>
          <w:sz w:val="32"/>
          <w:szCs w:val="32"/>
        </w:rPr>
        <w:t xml:space="preserve">       </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（3）退休人员未达到缴费年限补缴及</w:t>
      </w:r>
      <w:r>
        <w:rPr>
          <w:rFonts w:ascii="仿宋" w:hAnsi="仿宋" w:eastAsia="仿宋"/>
          <w:sz w:val="32"/>
          <w:szCs w:val="32"/>
        </w:rPr>
        <w:t>待遇</w:t>
      </w:r>
    </w:p>
    <w:p>
      <w:pPr>
        <w:spacing w:line="560" w:lineRule="exact"/>
        <w:ind w:firstLine="800" w:firstLineChars="250"/>
        <w:rPr>
          <w:rFonts w:hint="eastAsia" w:ascii="仿宋" w:hAnsi="仿宋" w:eastAsia="仿宋"/>
          <w:sz w:val="32"/>
          <w:szCs w:val="32"/>
        </w:rPr>
      </w:pPr>
      <w:r>
        <w:rPr>
          <w:rFonts w:ascii="仿宋" w:hAnsi="仿宋" w:eastAsia="仿宋"/>
          <w:sz w:val="32"/>
          <w:szCs w:val="32"/>
        </w:rPr>
        <w:t>A、</w:t>
      </w:r>
      <w:r>
        <w:rPr>
          <w:rFonts w:hint="eastAsia" w:ascii="仿宋" w:hAnsi="仿宋" w:eastAsia="仿宋"/>
          <w:sz w:val="32"/>
          <w:szCs w:val="32"/>
        </w:rPr>
        <w:t>参保人员达到国家法定退休年龄时（含参保时已退休人员），其本人缴费年限（含视同缴费年限）不足25年的（其中机关事业、社会团体中的非在编人员、灵活就业人员、民办非企业、非公有制企业及城镇个体经济组织参保人员实际缴费年限不足10年的）应按本人到医保经办机构办理在职转退休时规定的补缴基数，按5.5%的费率一次性补足后，方可享受退休人员基本医疗保险待遇。补缴的医疗保险费并入统筹基金，只计算缴费年限，不划拨个人账户。</w:t>
      </w:r>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B、参保人员从办理在职转退休变更手续的次月起，享受退休人员基本医疗保险待遇。</w:t>
      </w:r>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C、年满50周岁的女性参保人员，且缴费年限不够的，可选择一次性补缴或延长缴费至55周岁，到龄的当月不办理选择的，暂停其享受基本医疗保险待遇。</w:t>
      </w:r>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D、参保人员因故未能及时办理在职转退休手续继续缴费的，其缴费年限记入参保人员的实际缴费年限，多缴纳的基本医疗保险费不予退回，从申报办理在职转退休手续次月起享受退休人员基本医疗保险待遇。参保人员未及时办理在职转退休手续，缴费年限不够且未继续缴费的，当月暂停其基本医疗保险待遇。参保人员退休补缴款项年度内未到款的，需重新办理在职转退休手续，并按新年度的缴费基数计算补缴金额。</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E、用人单位因宣告破产、撤销、解散、关闭或者其它原因终止的，对于缴费年限（含视同缴费年限）满25年的已退休人员直接享受基本医疗保险待遇。对于缴费年限（含视同缴费年限）不足25年的上述单位已退休人员，应以用人单位向医疗保险经办机构申报办理医疗保险关系终止手续时规定的补缴基数，按5.5%的费率一次性补足（不划拨个人账户）后，方可享受退休人员基本医疗保险待遇。</w:t>
      </w:r>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F、从外统筹区转入的参保人员，转入后达到法定退休年龄并办理退休手续时，累计缴费年限（含实际缴费年限和视同缴费年限）应满25年，在最后转入地实际缴费年限必须满10年，方可享受退休人员基本医疗保险待遇。</w:t>
      </w:r>
    </w:p>
    <w:p>
      <w:pPr>
        <w:pStyle w:val="10"/>
        <w:spacing w:line="560" w:lineRule="exact"/>
        <w:rPr>
          <w:rFonts w:hint="eastAsia"/>
        </w:rPr>
      </w:pPr>
      <w:bookmarkStart w:id="11" w:name="_Toc519450139"/>
      <w:r>
        <w:rPr>
          <w:rFonts w:hint="eastAsia"/>
        </w:rPr>
        <w:t>10、职工医保关系转移接续</w:t>
      </w:r>
      <w:bookmarkEnd w:id="11"/>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（1）职工医保关系转出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流动就业人员在新就业地办理职工基本医疗保险参保登记前，其本人或原参保单位应在原参保地先办理停止缴费手续，</w:t>
      </w:r>
      <w:r>
        <w:rPr>
          <w:rFonts w:ascii="仿宋" w:hAnsi="仿宋" w:eastAsia="仿宋"/>
          <w:sz w:val="32"/>
          <w:szCs w:val="32"/>
        </w:rPr>
        <w:t>并获取</w:t>
      </w:r>
      <w:r>
        <w:rPr>
          <w:rFonts w:hint="eastAsia" w:ascii="仿宋" w:hAnsi="仿宋" w:eastAsia="仿宋"/>
          <w:sz w:val="32"/>
          <w:szCs w:val="32"/>
        </w:rPr>
        <w:t>《基本医疗保险参保凭证》和《生育保险参保凭证》。</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（2）职工医保关系转入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流动就业人员在新就业地医保经办机构办理参保登记后，由个人或新用人单位持《基本医疗保险参保凭证》和《生育保险参保凭证》，到新就业地医保经办机构申请办理关系转移接续。</w:t>
      </w:r>
    </w:p>
    <w:p>
      <w:pPr>
        <w:spacing w:line="560" w:lineRule="exact"/>
        <w:ind w:firstLine="640" w:firstLineChars="200"/>
        <w:rPr>
          <w:rFonts w:ascii="仿宋" w:hAnsi="仿宋" w:eastAsia="仿宋"/>
          <w:sz w:val="32"/>
          <w:szCs w:val="32"/>
        </w:rPr>
      </w:pPr>
    </w:p>
    <w:p>
      <w:pPr>
        <w:spacing w:line="560" w:lineRule="exact"/>
        <w:ind w:firstLine="560" w:firstLineChars="200"/>
        <w:rPr>
          <w:rFonts w:ascii="楷体" w:hAnsi="楷体" w:eastAsia="楷体"/>
          <w:sz w:val="28"/>
          <w:szCs w:val="28"/>
        </w:rPr>
      </w:pPr>
      <w:r>
        <w:rPr>
          <w:rFonts w:hint="eastAsia" w:ascii="黑体" w:hAnsi="黑体" w:eastAsia="黑体"/>
          <w:sz w:val="28"/>
          <w:szCs w:val="28"/>
        </w:rPr>
        <w:t>参考</w:t>
      </w:r>
      <w:r>
        <w:rPr>
          <w:rFonts w:ascii="黑体" w:hAnsi="黑体" w:eastAsia="黑体"/>
          <w:sz w:val="28"/>
          <w:szCs w:val="28"/>
        </w:rPr>
        <w:t>文件：</w:t>
      </w:r>
      <w:r>
        <w:rPr>
          <w:rFonts w:hint="eastAsia" w:ascii="楷体" w:hAnsi="楷体" w:eastAsia="楷体"/>
          <w:sz w:val="28"/>
          <w:szCs w:val="28"/>
        </w:rPr>
        <w:t>漳政综﹝2016﹞102号、漳政综﹝2013﹞43号、闽劳社﹝2001﹞381号、漳芗民﹝2000﹞64号、漳政民﹝2016﹞128号、闽人社文﹝2013﹞41号、闽人社文﹝2009﹞29号、闽医险发﹝2012﹞78号、闽人社文﹝2015﹞55号</w:t>
      </w:r>
    </w:p>
    <w:p>
      <w:pPr>
        <w:spacing w:line="560" w:lineRule="exact"/>
        <w:ind w:firstLine="640" w:firstLineChars="200"/>
        <w:rPr>
          <w:rFonts w:hint="eastAsia" w:ascii="仿宋" w:hAnsi="仿宋" w:eastAsia="仿宋"/>
          <w:sz w:val="32"/>
          <w:szCs w:val="32"/>
        </w:rPr>
      </w:pPr>
    </w:p>
    <w:p>
      <w:pPr>
        <w:pStyle w:val="2"/>
        <w:spacing w:line="560" w:lineRule="exact"/>
        <w:rPr>
          <w:rFonts w:hint="eastAsia"/>
        </w:rPr>
      </w:pPr>
      <w:bookmarkStart w:id="12" w:name="_Toc519450140"/>
      <w:r>
        <w:rPr>
          <w:rFonts w:hint="eastAsia"/>
        </w:rPr>
        <w:t>（二）公务员医疗补助</w:t>
      </w:r>
      <w:bookmarkEnd w:id="12"/>
    </w:p>
    <w:p>
      <w:pPr>
        <w:pStyle w:val="10"/>
        <w:spacing w:line="560" w:lineRule="exact"/>
        <w:rPr>
          <w:rFonts w:hint="eastAsia"/>
        </w:rPr>
      </w:pPr>
      <w:bookmarkStart w:id="13" w:name="_Toc519450141"/>
      <w:r>
        <w:rPr>
          <w:rFonts w:hint="eastAsia"/>
        </w:rPr>
        <w:t>1、参保范围</w:t>
      </w:r>
      <w:bookmarkEnd w:id="13"/>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属于市直财政和芗城、龙文两区全额拨款单位的编内参保人员均</w:t>
      </w:r>
      <w:r>
        <w:rPr>
          <w:rFonts w:ascii="仿宋" w:hAnsi="仿宋" w:eastAsia="仿宋"/>
          <w:sz w:val="32"/>
          <w:szCs w:val="32"/>
        </w:rPr>
        <w:t>可</w:t>
      </w:r>
      <w:r>
        <w:rPr>
          <w:rFonts w:hint="eastAsia" w:ascii="仿宋" w:hAnsi="仿宋" w:eastAsia="仿宋"/>
          <w:sz w:val="32"/>
          <w:szCs w:val="32"/>
        </w:rPr>
        <w:t>享受市级公务员医疗补助。此外范围的公务员医疗补助按</w:t>
      </w:r>
      <w:r>
        <w:rPr>
          <w:rFonts w:ascii="仿宋" w:hAnsi="仿宋" w:eastAsia="仿宋"/>
          <w:sz w:val="32"/>
          <w:szCs w:val="32"/>
        </w:rPr>
        <w:t>各县</w:t>
      </w:r>
      <w:r>
        <w:rPr>
          <w:rFonts w:hint="eastAsia" w:ascii="仿宋" w:hAnsi="仿宋" w:eastAsia="仿宋"/>
          <w:sz w:val="32"/>
          <w:szCs w:val="32"/>
        </w:rPr>
        <w:t>（市</w:t>
      </w:r>
      <w:r>
        <w:rPr>
          <w:rFonts w:ascii="仿宋" w:hAnsi="仿宋" w:eastAsia="仿宋"/>
          <w:sz w:val="32"/>
          <w:szCs w:val="32"/>
        </w:rPr>
        <w:t>、</w:t>
      </w:r>
      <w:r>
        <w:rPr>
          <w:rFonts w:hint="eastAsia" w:ascii="仿宋" w:hAnsi="仿宋" w:eastAsia="仿宋"/>
          <w:sz w:val="32"/>
          <w:szCs w:val="32"/>
        </w:rPr>
        <w:t>区）政府自定</w:t>
      </w:r>
      <w:r>
        <w:rPr>
          <w:rFonts w:ascii="仿宋" w:hAnsi="仿宋" w:eastAsia="仿宋"/>
          <w:sz w:val="32"/>
          <w:szCs w:val="32"/>
        </w:rPr>
        <w:t>政策</w:t>
      </w:r>
      <w:r>
        <w:rPr>
          <w:rFonts w:hint="eastAsia" w:ascii="仿宋" w:hAnsi="仿宋" w:eastAsia="仿宋"/>
          <w:sz w:val="32"/>
          <w:szCs w:val="32"/>
        </w:rPr>
        <w:t>执行，</w:t>
      </w:r>
      <w:r>
        <w:rPr>
          <w:rFonts w:ascii="仿宋" w:hAnsi="仿宋" w:eastAsia="仿宋"/>
          <w:sz w:val="32"/>
          <w:szCs w:val="32"/>
        </w:rPr>
        <w:t>实行县级统筹</w:t>
      </w:r>
      <w:r>
        <w:rPr>
          <w:rFonts w:hint="eastAsia" w:ascii="仿宋" w:hAnsi="仿宋" w:eastAsia="仿宋"/>
          <w:sz w:val="32"/>
          <w:szCs w:val="32"/>
        </w:rPr>
        <w:t>。</w:t>
      </w:r>
    </w:p>
    <w:p>
      <w:pPr>
        <w:pStyle w:val="10"/>
        <w:spacing w:line="560" w:lineRule="exact"/>
        <w:rPr>
          <w:rFonts w:hint="eastAsia"/>
        </w:rPr>
      </w:pPr>
      <w:bookmarkStart w:id="14" w:name="_Toc519450142"/>
      <w:r>
        <w:rPr>
          <w:rFonts w:hint="eastAsia"/>
        </w:rPr>
        <w:t>2、公务员医疗补助缴费</w:t>
      </w:r>
      <w:bookmarkEnd w:id="14"/>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由各级</w:t>
      </w:r>
      <w:r>
        <w:rPr>
          <w:rFonts w:ascii="仿宋" w:hAnsi="仿宋" w:eastAsia="仿宋"/>
          <w:sz w:val="32"/>
          <w:szCs w:val="32"/>
        </w:rPr>
        <w:t>财政部门</w:t>
      </w:r>
      <w:r>
        <w:rPr>
          <w:rFonts w:hint="eastAsia" w:ascii="仿宋" w:hAnsi="仿宋" w:eastAsia="仿宋"/>
          <w:sz w:val="32"/>
          <w:szCs w:val="32"/>
        </w:rPr>
        <w:t>按在职公务人员工资总额的6%统一</w:t>
      </w:r>
      <w:r>
        <w:rPr>
          <w:rFonts w:ascii="仿宋" w:hAnsi="仿宋" w:eastAsia="仿宋"/>
          <w:sz w:val="32"/>
          <w:szCs w:val="32"/>
        </w:rPr>
        <w:t>缴交</w:t>
      </w:r>
      <w:r>
        <w:rPr>
          <w:rFonts w:hint="eastAsia" w:ascii="仿宋" w:hAnsi="仿宋" w:eastAsia="仿宋"/>
          <w:sz w:val="32"/>
          <w:szCs w:val="32"/>
        </w:rPr>
        <w:t>。</w:t>
      </w:r>
    </w:p>
    <w:p>
      <w:pPr>
        <w:pStyle w:val="10"/>
        <w:spacing w:line="560" w:lineRule="exact"/>
        <w:rPr>
          <w:rFonts w:hint="eastAsia"/>
        </w:rPr>
      </w:pPr>
      <w:bookmarkStart w:id="15" w:name="_Toc519450143"/>
      <w:r>
        <w:rPr>
          <w:rFonts w:hint="eastAsia"/>
        </w:rPr>
        <w:t>3、公务员补助基金个人账户划拨比例</w:t>
      </w:r>
      <w:bookmarkEnd w:id="15"/>
    </w:p>
    <w:p>
      <w:pPr>
        <w:spacing w:line="560" w:lineRule="exact"/>
        <w:ind w:firstLine="640" w:firstLineChars="200"/>
        <w:rPr>
          <w:rFonts w:ascii="仿宋" w:hAnsi="仿宋" w:eastAsia="仿宋"/>
          <w:sz w:val="32"/>
          <w:szCs w:val="32"/>
        </w:rPr>
      </w:pPr>
      <w:r>
        <w:rPr>
          <w:rFonts w:hint="eastAsia" w:ascii="仿宋" w:hAnsi="仿宋" w:eastAsia="仿宋"/>
          <w:sz w:val="32"/>
          <w:szCs w:val="32"/>
        </w:rPr>
        <w:t>40周岁以下（含40周岁），按缴费工资2.2%划拨；41周岁以上至50周岁（含50周岁），按缴费工资2.8%划拨；51周岁以上（含51周岁）至法定退休年龄，按缴费工资3%划拨；退休人员按基本退休金5.8%划拨。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享受正处级医疗保健对象待遇的干部（包含正处级干部、任职10年以上或年满55周岁的副处级干部）、享受医疗保健对象待遇的高级专业技术人员，其个人账户按工资总额（或退休金）的2%划拨。</w:t>
      </w:r>
    </w:p>
    <w:p>
      <w:pPr>
        <w:pStyle w:val="10"/>
        <w:spacing w:line="560" w:lineRule="exact"/>
        <w:rPr>
          <w:rFonts w:hint="eastAsia"/>
        </w:rPr>
      </w:pPr>
      <w:bookmarkStart w:id="16" w:name="_Toc519450144"/>
      <w:r>
        <w:rPr>
          <w:rFonts w:hint="eastAsia"/>
        </w:rPr>
        <w:t>4、享受医疗保健对象待遇申报及变更</w:t>
      </w:r>
      <w:bookmarkEnd w:id="16"/>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（1）处级范围及申报</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财政全额拨款处级领导干部的职务（含非领导职务、行政副团级以上军转干部）、任职时间、任职年限由单位申报，市委组织部审核确认，或参保单位经办人员凭任职文件，及时到医管中心经办机构办理申报手续。</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（2）处级变更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处级领导职务、任职年限有变化时，参保单位经办人员凭市委组织部审核确认的有关文件或任职文件，及时到医管中心经办机构办理变更手续。</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（3）高级专业技术人员享受医疗保健对象待遇确认条件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财政全额拨款的市直事业单位中享受国务院政府特殊津贴人员以及副高以上（含副高）职称、聘任5年以上（含5年）且年龄满55周岁以上的专业技术人员，由所在单位申报，主管部门审核，报市人力资源和社会保障局认定。</w:t>
      </w:r>
    </w:p>
    <w:p>
      <w:pPr>
        <w:spacing w:line="560" w:lineRule="exact"/>
        <w:ind w:firstLine="640" w:firstLineChars="200"/>
        <w:rPr>
          <w:rFonts w:ascii="仿宋" w:hAnsi="仿宋" w:eastAsia="仿宋"/>
          <w:sz w:val="32"/>
          <w:szCs w:val="32"/>
        </w:rPr>
      </w:pPr>
    </w:p>
    <w:p>
      <w:pPr>
        <w:spacing w:line="560" w:lineRule="exact"/>
        <w:ind w:firstLine="560" w:firstLineChars="200"/>
        <w:rPr>
          <w:rFonts w:hint="eastAsia" w:ascii="楷体" w:hAnsi="楷体" w:eastAsia="楷体"/>
          <w:sz w:val="28"/>
          <w:szCs w:val="28"/>
        </w:rPr>
      </w:pPr>
      <w:r>
        <w:rPr>
          <w:rFonts w:hint="eastAsia" w:ascii="黑体" w:hAnsi="黑体" w:eastAsia="黑体"/>
          <w:sz w:val="28"/>
          <w:szCs w:val="28"/>
        </w:rPr>
        <w:t>参考</w:t>
      </w:r>
      <w:r>
        <w:rPr>
          <w:rFonts w:ascii="黑体" w:hAnsi="黑体" w:eastAsia="黑体"/>
          <w:sz w:val="28"/>
          <w:szCs w:val="28"/>
        </w:rPr>
        <w:t>文件：</w:t>
      </w:r>
      <w:r>
        <w:rPr>
          <w:rFonts w:hint="eastAsia" w:ascii="楷体" w:hAnsi="楷体" w:eastAsia="楷体"/>
          <w:sz w:val="28"/>
          <w:szCs w:val="28"/>
        </w:rPr>
        <w:t>漳政﹝2003﹞综88号、漳医改办﹝2003﹞第05号、漳政综﹝2008﹞2号、漳委组综字﹝2007﹞6号</w:t>
      </w:r>
    </w:p>
    <w:p>
      <w:pPr>
        <w:spacing w:line="560" w:lineRule="exact"/>
        <w:rPr>
          <w:rFonts w:hint="eastAsia" w:ascii="仿宋" w:hAnsi="仿宋" w:eastAsia="仿宋"/>
          <w:b/>
          <w:sz w:val="32"/>
          <w:szCs w:val="32"/>
        </w:rPr>
      </w:pPr>
    </w:p>
    <w:p>
      <w:pPr>
        <w:pStyle w:val="2"/>
        <w:spacing w:line="560" w:lineRule="exact"/>
        <w:rPr>
          <w:rFonts w:hint="eastAsia"/>
        </w:rPr>
      </w:pPr>
      <w:bookmarkStart w:id="17" w:name="_Toc519450145"/>
      <w:r>
        <w:rPr>
          <w:rFonts w:hint="eastAsia"/>
        </w:rPr>
        <w:t>（三）职工生育保险</w:t>
      </w:r>
      <w:bookmarkEnd w:id="17"/>
    </w:p>
    <w:p>
      <w:pPr>
        <w:pStyle w:val="10"/>
        <w:spacing w:line="560" w:lineRule="exact"/>
        <w:rPr>
          <w:rFonts w:hint="eastAsia"/>
        </w:rPr>
      </w:pPr>
      <w:bookmarkStart w:id="18" w:name="_Toc519450146"/>
      <w:r>
        <w:rPr>
          <w:rFonts w:hint="eastAsia"/>
        </w:rPr>
        <w:t>1、参保范围</w:t>
      </w:r>
      <w:bookmarkEnd w:id="18"/>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漳州行政区域内的所有用人单位，均应按规定为本单位全体职工及时办理参保登记并足额缴纳生育保险费。</w:t>
      </w:r>
    </w:p>
    <w:p>
      <w:pPr>
        <w:pStyle w:val="10"/>
        <w:spacing w:line="560" w:lineRule="exact"/>
        <w:rPr>
          <w:rFonts w:hint="eastAsia"/>
        </w:rPr>
      </w:pPr>
      <w:bookmarkStart w:id="19" w:name="_Toc519450147"/>
      <w:r>
        <w:rPr>
          <w:rFonts w:hint="eastAsia"/>
        </w:rPr>
        <w:t>2、职工生育保险费缴纳</w:t>
      </w:r>
      <w:bookmarkEnd w:id="19"/>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由用人单位按照国家规定缴纳，职工不缴纳生育保险费。用人单位及其职工应同时参加职工基本医疗保险和生育保险，按同一缴费基数缴纳职工基本医疗保险费和生育保险费。其中</w:t>
      </w:r>
      <w:r>
        <w:rPr>
          <w:rFonts w:ascii="仿宋" w:hAnsi="仿宋" w:eastAsia="仿宋"/>
          <w:sz w:val="32"/>
          <w:szCs w:val="32"/>
        </w:rPr>
        <w:t>：</w:t>
      </w:r>
      <w:r>
        <w:rPr>
          <w:rFonts w:hint="eastAsia" w:ascii="仿宋" w:hAnsi="仿宋" w:eastAsia="仿宋"/>
          <w:sz w:val="32"/>
          <w:szCs w:val="32"/>
        </w:rPr>
        <w:t>自收自支、财政差额拨款或财政经费包干的事业单位，民间非营利组织及企业，生育保险缴费费率为0.5%；机关、财政核拨的事业单位生育保险缴费费率为0.35%；灵活就业人员不缴纳生育保险费。</w:t>
      </w:r>
    </w:p>
    <w:p>
      <w:pPr>
        <w:pStyle w:val="10"/>
        <w:spacing w:line="560" w:lineRule="exact"/>
        <w:rPr>
          <w:rFonts w:hint="eastAsia"/>
        </w:rPr>
      </w:pPr>
      <w:bookmarkStart w:id="20" w:name="_Toc519450148"/>
      <w:r>
        <w:rPr>
          <w:rFonts w:hint="eastAsia"/>
        </w:rPr>
        <w:t>3、生育保险关系转移接续</w:t>
      </w:r>
      <w:bookmarkEnd w:id="20"/>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生育保险关系在省内可以转移接续。职工因正常工作调动或劳动关系改变转移生育保险关系的，用人单位应及时到生育保险经办机构办理相关手续。职工生育保险缴费年限，统筹区之间相互认可，关系转移前后的缴费年限可累计计算。</w:t>
      </w:r>
    </w:p>
    <w:p>
      <w:pPr>
        <w:spacing w:line="560" w:lineRule="exact"/>
        <w:rPr>
          <w:rFonts w:ascii="仿宋" w:hAnsi="仿宋" w:eastAsia="仿宋"/>
          <w:sz w:val="32"/>
          <w:szCs w:val="32"/>
        </w:rPr>
      </w:pPr>
    </w:p>
    <w:p>
      <w:pPr>
        <w:spacing w:line="560" w:lineRule="exact"/>
        <w:ind w:firstLine="560" w:firstLineChars="200"/>
        <w:rPr>
          <w:rFonts w:ascii="楷体" w:hAnsi="楷体" w:eastAsia="楷体"/>
          <w:sz w:val="28"/>
          <w:szCs w:val="28"/>
        </w:rPr>
      </w:pPr>
      <w:r>
        <w:rPr>
          <w:rFonts w:hint="eastAsia" w:ascii="黑体" w:hAnsi="黑体" w:eastAsia="黑体"/>
          <w:sz w:val="28"/>
          <w:szCs w:val="28"/>
        </w:rPr>
        <w:t>参考文件：</w:t>
      </w:r>
      <w:r>
        <w:rPr>
          <w:rFonts w:hint="eastAsia" w:ascii="楷体" w:hAnsi="楷体" w:eastAsia="楷体"/>
          <w:sz w:val="28"/>
          <w:szCs w:val="28"/>
        </w:rPr>
        <w:t>漳政办﹝2015﹞173号、漳政办﹝2016﹞186号</w:t>
      </w:r>
    </w:p>
    <w:p>
      <w:pPr>
        <w:spacing w:line="560" w:lineRule="exact"/>
        <w:ind w:firstLine="640" w:firstLineChars="200"/>
        <w:rPr>
          <w:rFonts w:hint="eastAsia" w:ascii="仿宋" w:hAnsi="仿宋" w:eastAsia="仿宋"/>
          <w:sz w:val="32"/>
          <w:szCs w:val="32"/>
        </w:rPr>
      </w:pPr>
    </w:p>
    <w:p>
      <w:pPr>
        <w:pStyle w:val="2"/>
        <w:spacing w:line="560" w:lineRule="exact"/>
        <w:rPr>
          <w:rFonts w:hint="eastAsia"/>
        </w:rPr>
      </w:pPr>
      <w:bookmarkStart w:id="21" w:name="_Toc519450149"/>
      <w:r>
        <w:rPr>
          <w:rFonts w:hint="eastAsia"/>
        </w:rPr>
        <w:t>（四）城乡居民医保缴费</w:t>
      </w:r>
      <w:bookmarkEnd w:id="21"/>
    </w:p>
    <w:p>
      <w:pPr>
        <w:pStyle w:val="10"/>
        <w:spacing w:line="560" w:lineRule="exact"/>
        <w:rPr>
          <w:rFonts w:hint="eastAsia"/>
        </w:rPr>
      </w:pPr>
      <w:bookmarkStart w:id="22" w:name="_Toc519450150"/>
      <w:r>
        <w:rPr>
          <w:rFonts w:hint="eastAsia"/>
        </w:rPr>
        <w:t>1、参保范围</w:t>
      </w:r>
      <w:bookmarkEnd w:id="22"/>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城镇职工基本医疗保险参保人员以外的本市户籍城乡居民，中小学校(含幼儿园、托儿所)学生，在本市就读的大中专院校(含职业高中)学生，原经省政府同意纳入当地新农合保障范围的</w:t>
      </w:r>
      <w:r>
        <w:rPr>
          <w:rFonts w:hint="eastAsia" w:ascii="仿宋" w:hAnsi="仿宋" w:eastAsia="仿宋" w:cs="AdobeHeitiStd-Regular"/>
          <w:color w:val="000000"/>
          <w:sz w:val="32"/>
          <w:szCs w:val="32"/>
        </w:rPr>
        <w:t>驻县（市、区）武警官兵</w:t>
      </w:r>
      <w:r>
        <w:rPr>
          <w:rFonts w:hint="eastAsia" w:ascii="仿宋" w:hAnsi="仿宋" w:eastAsia="仿宋"/>
          <w:color w:val="000000"/>
          <w:sz w:val="32"/>
          <w:szCs w:val="32"/>
        </w:rPr>
        <w:t>，</w:t>
      </w:r>
      <w:r>
        <w:rPr>
          <w:rFonts w:hint="eastAsia" w:ascii="仿宋" w:hAnsi="仿宋" w:eastAsia="仿宋" w:cs="AdobeHeitiStd-Regular"/>
          <w:color w:val="000000"/>
          <w:sz w:val="32"/>
          <w:szCs w:val="32"/>
        </w:rPr>
        <w:t>在漳州长期居住（</w:t>
      </w:r>
      <w:r>
        <w:rPr>
          <w:rFonts w:hint="eastAsia" w:ascii="仿宋" w:hAnsi="仿宋" w:eastAsia="仿宋"/>
          <w:color w:val="000000"/>
          <w:sz w:val="32"/>
          <w:szCs w:val="32"/>
        </w:rPr>
        <w:t>一</w:t>
      </w:r>
      <w:r>
        <w:rPr>
          <w:rFonts w:hint="eastAsia" w:ascii="仿宋" w:hAnsi="仿宋" w:eastAsia="仿宋" w:cs="AdobeHeitiStd-Regular"/>
          <w:color w:val="000000"/>
          <w:sz w:val="32"/>
          <w:szCs w:val="32"/>
        </w:rPr>
        <w:t>年以上）的非从业的港澳台</w:t>
      </w:r>
      <w:r>
        <w:rPr>
          <w:rFonts w:hint="eastAsia" w:ascii="仿宋" w:hAnsi="仿宋" w:eastAsia="仿宋"/>
          <w:color w:val="000000"/>
          <w:sz w:val="32"/>
          <w:szCs w:val="32"/>
        </w:rPr>
        <w:t>，以及持有居住证（有效期内）的未稳定就业人员，可根据自愿原则，参加城乡居民医保。</w:t>
      </w:r>
    </w:p>
    <w:p>
      <w:pPr>
        <w:pStyle w:val="10"/>
        <w:spacing w:line="560" w:lineRule="exact"/>
        <w:rPr>
          <w:rFonts w:hint="eastAsia"/>
        </w:rPr>
      </w:pPr>
      <w:r>
        <w:rPr>
          <w:rFonts w:hint="eastAsia"/>
        </w:rPr>
        <w:t xml:space="preserve"> </w:t>
      </w:r>
      <w:bookmarkStart w:id="23" w:name="_Toc519450151"/>
      <w:r>
        <w:rPr>
          <w:rFonts w:hint="eastAsia" w:cs="宋体"/>
          <w:kern w:val="0"/>
        </w:rPr>
        <w:t>2、</w:t>
      </w:r>
      <w:r>
        <w:rPr>
          <w:rFonts w:hint="eastAsia"/>
        </w:rPr>
        <w:t>筹资方式</w:t>
      </w:r>
      <w:bookmarkEnd w:id="23"/>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实行个人缴费和政府补助相结合。年度筹资标准和财政补助不低于国家和省规定的标准，每年缴费期公布后，全市统一执行。城乡居民参保缴费原则上实行属地管理。2018年度个人缴费标准为180元/人，政府补助480元/人。</w:t>
      </w:r>
    </w:p>
    <w:p>
      <w:pPr>
        <w:pStyle w:val="10"/>
        <w:spacing w:line="560" w:lineRule="exact"/>
        <w:rPr>
          <w:rFonts w:hint="eastAsia"/>
        </w:rPr>
      </w:pPr>
      <w:bookmarkStart w:id="24" w:name="_Toc519450152"/>
      <w:r>
        <w:rPr>
          <w:rFonts w:hint="eastAsia"/>
        </w:rPr>
        <w:t>3、年度参保缴费</w:t>
      </w:r>
      <w:bookmarkEnd w:id="24"/>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城乡居民医保按年度参保缴费。每年的9月1日至12月31日为次年参保缴费期，个人按</w:t>
      </w:r>
      <w:r>
        <w:rPr>
          <w:rFonts w:ascii="仿宋" w:hAnsi="仿宋" w:eastAsia="仿宋"/>
          <w:sz w:val="32"/>
          <w:szCs w:val="32"/>
        </w:rPr>
        <w:t>标准缴交次年</w:t>
      </w:r>
      <w:r>
        <w:rPr>
          <w:rFonts w:hint="eastAsia" w:ascii="仿宋" w:hAnsi="仿宋" w:eastAsia="仿宋"/>
          <w:sz w:val="32"/>
          <w:szCs w:val="32"/>
        </w:rPr>
        <w:t>参保费用。</w:t>
      </w:r>
    </w:p>
    <w:p>
      <w:pPr>
        <w:pStyle w:val="10"/>
        <w:spacing w:line="560" w:lineRule="exact"/>
        <w:rPr>
          <w:rFonts w:hint="eastAsia"/>
        </w:rPr>
      </w:pPr>
      <w:bookmarkStart w:id="25" w:name="_Toc519450153"/>
      <w:r>
        <w:rPr>
          <w:rFonts w:hint="eastAsia"/>
        </w:rPr>
        <w:t>4、逾期参保缴费</w:t>
      </w:r>
      <w:bookmarkEnd w:id="25"/>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由个人全额</w:t>
      </w:r>
      <w:r>
        <w:rPr>
          <w:rFonts w:ascii="仿宋" w:hAnsi="仿宋" w:eastAsia="仿宋"/>
          <w:sz w:val="32"/>
          <w:szCs w:val="32"/>
        </w:rPr>
        <w:t>承担</w:t>
      </w:r>
      <w:r>
        <w:rPr>
          <w:rFonts w:hint="eastAsia" w:ascii="仿宋" w:hAnsi="仿宋" w:eastAsia="仿宋"/>
          <w:sz w:val="32"/>
          <w:szCs w:val="32"/>
        </w:rPr>
        <w:t>个人缴费和政府补助全部费用，自缴交款项之日起计算，50天等待</w:t>
      </w:r>
      <w:r>
        <w:rPr>
          <w:rFonts w:ascii="仿宋" w:hAnsi="仿宋" w:eastAsia="仿宋"/>
          <w:sz w:val="32"/>
          <w:szCs w:val="32"/>
        </w:rPr>
        <w:t>期</w:t>
      </w:r>
      <w:r>
        <w:rPr>
          <w:rFonts w:hint="eastAsia" w:ascii="仿宋" w:hAnsi="仿宋" w:eastAsia="仿宋"/>
          <w:sz w:val="32"/>
          <w:szCs w:val="32"/>
        </w:rPr>
        <w:t>后方可享受城乡居民基本医疗保险待遇。</w:t>
      </w:r>
    </w:p>
    <w:p>
      <w:pPr>
        <w:pStyle w:val="10"/>
        <w:spacing w:line="560" w:lineRule="exact"/>
        <w:rPr>
          <w:rFonts w:hint="eastAsia"/>
        </w:rPr>
      </w:pPr>
      <w:bookmarkStart w:id="26" w:name="_Toc519450154"/>
      <w:r>
        <w:rPr>
          <w:rFonts w:hint="eastAsia"/>
        </w:rPr>
        <w:t>5、新生儿参保缴费</w:t>
      </w:r>
      <w:bookmarkEnd w:id="26"/>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在一个医疗保险结算年度内，新生儿出生在90天内办理当年参保缴费手续的，按照本年度缴费标准缴费，从出生之日起享受当年医疗保险待遇。在出生90天后办理当年参保缴费手续的，按照本年度缴费标准缴费，从缴费后次日起享受当年医疗保险待遇。</w:t>
      </w:r>
    </w:p>
    <w:p>
      <w:pPr>
        <w:pStyle w:val="10"/>
        <w:spacing w:line="560" w:lineRule="exact"/>
        <w:rPr>
          <w:rFonts w:hint="eastAsia"/>
        </w:rPr>
      </w:pPr>
      <w:bookmarkStart w:id="27" w:name="_Toc519450155"/>
      <w:r>
        <w:rPr>
          <w:rFonts w:hint="eastAsia"/>
        </w:rPr>
        <w:t>6、免缴对象</w:t>
      </w:r>
      <w:bookmarkEnd w:id="27"/>
    </w:p>
    <w:p>
      <w:pPr>
        <w:spacing w:line="560" w:lineRule="exact"/>
        <w:ind w:firstLine="640" w:firstLineChars="200"/>
        <w:rPr>
          <w:rFonts w:hint="eastAsia" w:ascii="仿宋" w:hAnsi="仿宋" w:eastAsia="仿宋"/>
          <w:sz w:val="32"/>
          <w:szCs w:val="32"/>
        </w:rPr>
      </w:pPr>
      <w:r>
        <w:rPr>
          <w:rFonts w:hint="eastAsia" w:ascii="仿宋" w:hAnsi="仿宋" w:eastAsia="仿宋"/>
          <w:color w:val="000000"/>
          <w:sz w:val="32"/>
          <w:szCs w:val="32"/>
        </w:rPr>
        <w:t>具有本市户籍的特困人员、城乡低保对象、建档立卡的贫困人口、重点优抚对象（含革命“五老”人员）、计划生育特殊家庭成员、持第二代《残疾人证》的重度残疾人、孤儿属于个人缴费免缴对象，根据所在县（市、区）相关部门会同财政部门提供的免缴对象名单，由县(市、区)财政承担其个人缴纳费用。</w:t>
      </w:r>
    </w:p>
    <w:p>
      <w:pPr>
        <w:pStyle w:val="10"/>
        <w:spacing w:line="560" w:lineRule="exact"/>
      </w:pPr>
      <w:bookmarkStart w:id="28" w:name="_Toc519450156"/>
      <w:r>
        <w:rPr>
          <w:rFonts w:hint="eastAsia"/>
        </w:rPr>
        <w:t>7、城乡居民大病保险</w:t>
      </w:r>
      <w:bookmarkEnd w:id="28"/>
      <w:r>
        <w:rPr>
          <w:rFonts w:hint="eastAsia"/>
        </w:rPr>
        <w:t xml:space="preserve"> </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城乡居民大病保险费根据国家和省相关规定，从基本医疗保险基金中按一定额度划拨，参保人员个人不另加缴费。</w:t>
      </w:r>
    </w:p>
    <w:p>
      <w:pPr>
        <w:spacing w:line="560" w:lineRule="exact"/>
        <w:ind w:firstLine="640" w:firstLineChars="200"/>
        <w:rPr>
          <w:rFonts w:ascii="仿宋" w:hAnsi="仿宋" w:eastAsia="仿宋"/>
          <w:color w:val="000000"/>
          <w:sz w:val="32"/>
          <w:szCs w:val="32"/>
        </w:rPr>
      </w:pPr>
    </w:p>
    <w:p>
      <w:pPr>
        <w:spacing w:line="560" w:lineRule="exact"/>
        <w:ind w:firstLine="560" w:firstLineChars="200"/>
        <w:rPr>
          <w:rFonts w:hint="eastAsia" w:ascii="仿宋" w:hAnsi="仿宋" w:eastAsia="仿宋"/>
          <w:sz w:val="28"/>
          <w:szCs w:val="28"/>
        </w:rPr>
      </w:pPr>
      <w:r>
        <w:rPr>
          <w:rFonts w:hint="eastAsia" w:ascii="黑体" w:hAnsi="黑体" w:eastAsia="黑体"/>
          <w:color w:val="000000"/>
          <w:sz w:val="28"/>
          <w:szCs w:val="28"/>
        </w:rPr>
        <w:t>参考</w:t>
      </w:r>
      <w:r>
        <w:rPr>
          <w:rFonts w:ascii="黑体" w:hAnsi="黑体" w:eastAsia="黑体"/>
          <w:color w:val="000000"/>
          <w:sz w:val="28"/>
          <w:szCs w:val="28"/>
        </w:rPr>
        <w:t>文件：</w:t>
      </w:r>
      <w:r>
        <w:rPr>
          <w:rFonts w:hint="eastAsia" w:ascii="楷体" w:hAnsi="楷体" w:eastAsia="楷体"/>
          <w:color w:val="000000"/>
          <w:sz w:val="28"/>
          <w:szCs w:val="28"/>
        </w:rPr>
        <w:t>漳政办﹝2017﹞201号</w:t>
      </w:r>
    </w:p>
    <w:p>
      <w:pPr>
        <w:spacing w:line="560" w:lineRule="exact"/>
        <w:rPr>
          <w:rFonts w:ascii="仿宋" w:hAnsi="仿宋" w:eastAsia="仿宋"/>
          <w:color w:val="000000"/>
          <w:sz w:val="32"/>
          <w:szCs w:val="32"/>
        </w:rPr>
      </w:pPr>
    </w:p>
    <w:p>
      <w:pPr>
        <w:pStyle w:val="2"/>
        <w:spacing w:line="560" w:lineRule="exact"/>
      </w:pPr>
      <w:bookmarkStart w:id="29" w:name="_Toc519450157"/>
      <w:r>
        <w:rPr>
          <w:rFonts w:hint="eastAsia"/>
        </w:rPr>
        <w:t>（五）城乡医疗救助</w:t>
      </w:r>
      <w:bookmarkEnd w:id="29"/>
    </w:p>
    <w:p>
      <w:pPr>
        <w:pStyle w:val="10"/>
        <w:spacing w:line="560" w:lineRule="exact"/>
        <w:rPr>
          <w:rFonts w:hint="eastAsia"/>
        </w:rPr>
      </w:pPr>
      <w:bookmarkStart w:id="30" w:name="_Toc519450158"/>
      <w:r>
        <w:rPr>
          <w:rFonts w:hint="eastAsia"/>
        </w:rPr>
        <w:t>1、城乡医疗救助对象范围</w:t>
      </w:r>
      <w:bookmarkEnd w:id="30"/>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具有本市户籍、符合救助条件的城乡居民，按上级政策规定分为四类：</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第一类：特困人员。（农村五保供养对象；城市“三无”人员，即无劳动能力、无生活来源又无法定赡养、抚养、扶养义务人，或者赡养、抚养、扶养义务人无赡养、抚养、扶养能力的人员）；</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第二类：城乡低保对象、建档立卡的贫困人口、重点优抚对象（含革命“五老”人员）、计划生育特殊家庭成员、持第二代《残疾人证》的重度残疾人、孤儿；</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第三类：低收入家庭的老年人、未成年人和重病患者；</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第四类：因病致贫家庭重病患者。</w:t>
      </w:r>
    </w:p>
    <w:p>
      <w:pPr>
        <w:spacing w:line="560" w:lineRule="exact"/>
        <w:rPr>
          <w:rFonts w:hint="eastAsia" w:ascii="仿宋" w:hAnsi="仿宋" w:eastAsia="仿宋"/>
          <w:color w:val="000000"/>
          <w:sz w:val="32"/>
          <w:szCs w:val="32"/>
        </w:rPr>
      </w:pPr>
      <w:bookmarkStart w:id="31" w:name="_Toc519450159"/>
      <w:r>
        <w:rPr>
          <w:rStyle w:val="34"/>
          <w:rFonts w:hint="eastAsia"/>
        </w:rPr>
        <w:t>2、救助对象认定</w:t>
      </w:r>
      <w:bookmarkEnd w:id="31"/>
    </w:p>
    <w:p>
      <w:pPr>
        <w:spacing w:line="56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（1）民政部门负责认定提供特困人员、城乡低保对象、重点优抚对象（含革命“五老”人员）、孤儿等医疗救助对象，依申请开展低收入家庭的老年人、未成年人和重病患者的救助申请家庭经济状况核查。</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（2）扶贫办负责建档立卡贫困人口的认定。</w:t>
      </w:r>
    </w:p>
    <w:p>
      <w:pPr>
        <w:spacing w:line="560" w:lineRule="exact"/>
        <w:ind w:firstLine="480" w:firstLineChars="150"/>
        <w:rPr>
          <w:rFonts w:ascii="仿宋" w:hAnsi="仿宋" w:eastAsia="仿宋"/>
          <w:color w:val="000000"/>
          <w:sz w:val="32"/>
          <w:szCs w:val="32"/>
        </w:rPr>
      </w:pPr>
      <w:r>
        <w:rPr>
          <w:rFonts w:hint="eastAsia" w:ascii="仿宋" w:hAnsi="仿宋" w:eastAsia="仿宋"/>
          <w:color w:val="000000"/>
          <w:sz w:val="32"/>
          <w:szCs w:val="32"/>
        </w:rPr>
        <w:t>（3）卫计部门负责认定计划生育特殊家庭。</w:t>
      </w:r>
    </w:p>
    <w:p>
      <w:pPr>
        <w:spacing w:line="560" w:lineRule="exact"/>
        <w:ind w:firstLine="480" w:firstLineChars="150"/>
        <w:rPr>
          <w:rFonts w:hint="eastAsia" w:ascii="仿宋" w:hAnsi="仿宋" w:eastAsia="仿宋"/>
          <w:color w:val="000000"/>
          <w:sz w:val="32"/>
          <w:szCs w:val="32"/>
        </w:rPr>
      </w:pPr>
      <w:r>
        <w:rPr>
          <w:rFonts w:hint="eastAsia" w:ascii="仿宋" w:hAnsi="仿宋" w:eastAsia="仿宋"/>
          <w:color w:val="000000"/>
          <w:sz w:val="32"/>
          <w:szCs w:val="32"/>
        </w:rPr>
        <w:t>（4）残疾人联合会负责重度残疾人的认定。</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所在县（市、区）相关部门（县民政、扶贫、卫计、残联等）确认的救助对象于每月10日前报当地医保经办机构，当月未报的视为没有变动。</w:t>
      </w:r>
    </w:p>
    <w:p>
      <w:pPr>
        <w:pStyle w:val="10"/>
        <w:spacing w:line="560" w:lineRule="exact"/>
        <w:rPr>
          <w:rFonts w:hint="eastAsia"/>
        </w:rPr>
      </w:pPr>
      <w:bookmarkStart w:id="32" w:name="_Toc519450160"/>
      <w:r>
        <w:rPr>
          <w:rFonts w:hint="eastAsia"/>
        </w:rPr>
        <w:t>3、救助信息录入</w:t>
      </w:r>
      <w:bookmarkEnd w:id="32"/>
    </w:p>
    <w:p>
      <w:pPr>
        <w:spacing w:line="560" w:lineRule="exact"/>
        <w:ind w:firstLine="660"/>
        <w:rPr>
          <w:rFonts w:ascii="仿宋" w:hAnsi="仿宋" w:eastAsia="仿宋"/>
          <w:color w:val="000000"/>
          <w:sz w:val="32"/>
          <w:szCs w:val="32"/>
        </w:rPr>
      </w:pPr>
      <w:r>
        <w:rPr>
          <w:rFonts w:hint="eastAsia" w:ascii="仿宋" w:hAnsi="仿宋" w:eastAsia="仿宋"/>
          <w:color w:val="000000"/>
          <w:sz w:val="32"/>
          <w:szCs w:val="32"/>
        </w:rPr>
        <w:t>新增扶贫对象，由市扶贫办根据动态调整机制提供精准扶贫保障对象具体名单，由市医保经办机构统一导入信息系统和进行数据维护。</w:t>
      </w:r>
    </w:p>
    <w:p>
      <w:pPr>
        <w:spacing w:line="560" w:lineRule="exact"/>
        <w:ind w:firstLine="660"/>
        <w:rPr>
          <w:rFonts w:ascii="仿宋" w:hAnsi="仿宋" w:eastAsia="仿宋"/>
          <w:color w:val="000000"/>
          <w:sz w:val="32"/>
          <w:szCs w:val="32"/>
        </w:rPr>
      </w:pPr>
      <w:r>
        <w:rPr>
          <w:rFonts w:hint="eastAsia" w:ascii="仿宋" w:hAnsi="仿宋" w:eastAsia="仿宋"/>
          <w:color w:val="000000"/>
          <w:sz w:val="32"/>
          <w:szCs w:val="32"/>
        </w:rPr>
        <w:t>民政、扶贫、卫计、残联提供的救助人员对象证件号码信息匹配有误的，由各相关部门核实修正。</w:t>
      </w:r>
    </w:p>
    <w:p>
      <w:pPr>
        <w:spacing w:line="560" w:lineRule="exact"/>
        <w:ind w:firstLine="660"/>
        <w:rPr>
          <w:rFonts w:hint="eastAsia" w:ascii="仿宋" w:hAnsi="仿宋" w:eastAsia="仿宋"/>
          <w:color w:val="000000"/>
          <w:sz w:val="32"/>
          <w:szCs w:val="32"/>
        </w:rPr>
      </w:pPr>
    </w:p>
    <w:p>
      <w:pPr>
        <w:spacing w:line="560" w:lineRule="exact"/>
        <w:ind w:firstLine="660"/>
        <w:rPr>
          <w:rFonts w:hint="eastAsia" w:ascii="楷体" w:hAnsi="楷体" w:eastAsia="楷体"/>
          <w:color w:val="000000"/>
          <w:sz w:val="28"/>
          <w:szCs w:val="28"/>
        </w:rPr>
      </w:pPr>
      <w:r>
        <w:rPr>
          <w:rFonts w:hint="eastAsia" w:ascii="黑体" w:hAnsi="黑体" w:eastAsia="黑体"/>
          <w:color w:val="000000"/>
          <w:sz w:val="28"/>
          <w:szCs w:val="28"/>
        </w:rPr>
        <w:t>参考</w:t>
      </w:r>
      <w:r>
        <w:rPr>
          <w:rFonts w:ascii="黑体" w:hAnsi="黑体" w:eastAsia="黑体"/>
          <w:color w:val="000000"/>
          <w:sz w:val="28"/>
          <w:szCs w:val="28"/>
        </w:rPr>
        <w:t>文件：</w:t>
      </w:r>
      <w:r>
        <w:rPr>
          <w:rFonts w:hint="eastAsia" w:ascii="楷体" w:hAnsi="楷体" w:eastAsia="楷体"/>
          <w:color w:val="000000"/>
          <w:sz w:val="28"/>
          <w:szCs w:val="28"/>
        </w:rPr>
        <w:t>漳政办﹝2017﹞201号、漳医保〔2018〕22号</w:t>
      </w:r>
    </w:p>
    <w:p>
      <w:pPr>
        <w:spacing w:line="560" w:lineRule="exact"/>
        <w:ind w:firstLine="640" w:firstLineChars="200"/>
        <w:rPr>
          <w:rFonts w:hint="eastAsia" w:ascii="仿宋" w:hAnsi="仿宋" w:eastAsia="仿宋"/>
          <w:color w:val="000000"/>
          <w:sz w:val="32"/>
          <w:szCs w:val="32"/>
        </w:rPr>
      </w:pPr>
    </w:p>
    <w:p>
      <w:pPr>
        <w:pStyle w:val="13"/>
        <w:spacing w:line="560" w:lineRule="exact"/>
        <w:jc w:val="left"/>
        <w:rPr>
          <w:rFonts w:hint="eastAsia"/>
        </w:rPr>
      </w:pPr>
      <w:bookmarkStart w:id="33" w:name="_Toc519450161"/>
      <w:r>
        <w:rPr>
          <w:rFonts w:hint="eastAsia"/>
        </w:rPr>
        <w:t>二、医疗</w:t>
      </w:r>
      <w:r>
        <w:t>保障</w:t>
      </w:r>
      <w:r>
        <w:rPr>
          <w:rFonts w:hint="eastAsia"/>
        </w:rPr>
        <w:t>待遇</w:t>
      </w:r>
      <w:bookmarkEnd w:id="33"/>
    </w:p>
    <w:p>
      <w:pPr>
        <w:pStyle w:val="2"/>
        <w:spacing w:line="560" w:lineRule="exact"/>
      </w:pPr>
      <w:bookmarkStart w:id="34" w:name="_Toc519450162"/>
      <w:r>
        <w:rPr>
          <w:rFonts w:hint="eastAsia"/>
        </w:rPr>
        <w:t>（一）职工医保</w:t>
      </w:r>
      <w:bookmarkEnd w:id="34"/>
    </w:p>
    <w:p>
      <w:pPr>
        <w:pStyle w:val="10"/>
        <w:spacing w:line="560" w:lineRule="exact"/>
      </w:pPr>
      <w:bookmarkStart w:id="35" w:name="_Toc519450163"/>
      <w:r>
        <w:rPr>
          <w:rFonts w:hint="eastAsia"/>
        </w:rPr>
        <w:t>1、住院</w:t>
      </w:r>
      <w:bookmarkEnd w:id="35"/>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（1）起付线</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医疗费用发生到一定数额后的费用统筹基金方可开始报销，也称起付线或门槛费。起付线：三级医院800元、二级医院200元、一级医院0元。年度内多次住院依次递减200元直至0元。漳州地区以外住院相应增加300元起付线。</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bCs/>
          <w:sz w:val="32"/>
          <w:szCs w:val="32"/>
        </w:rPr>
        <w:t>（2）报销比例</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扣除起付线和非医保（含乙类个人支付</w:t>
      </w:r>
      <w:r>
        <w:rPr>
          <w:rFonts w:ascii="仿宋" w:hAnsi="仿宋" w:eastAsia="仿宋"/>
          <w:sz w:val="32"/>
          <w:szCs w:val="32"/>
        </w:rPr>
        <w:t>部分</w:t>
      </w:r>
      <w:r>
        <w:rPr>
          <w:rFonts w:hint="eastAsia" w:ascii="仿宋" w:hAnsi="仿宋" w:eastAsia="仿宋"/>
          <w:sz w:val="32"/>
          <w:szCs w:val="32"/>
        </w:rPr>
        <w:t>）后，</w:t>
      </w:r>
      <w:r>
        <w:rPr>
          <w:rFonts w:ascii="仿宋" w:hAnsi="仿宋" w:eastAsia="仿宋"/>
          <w:sz w:val="32"/>
          <w:szCs w:val="32"/>
        </w:rPr>
        <w:t>目录内费用</w:t>
      </w:r>
      <w:r>
        <w:rPr>
          <w:rFonts w:hint="eastAsia" w:ascii="仿宋" w:hAnsi="仿宋" w:eastAsia="仿宋"/>
          <w:sz w:val="32"/>
          <w:szCs w:val="32"/>
        </w:rPr>
        <w:t>报销</w:t>
      </w:r>
      <w:r>
        <w:rPr>
          <w:rFonts w:ascii="仿宋" w:hAnsi="仿宋" w:eastAsia="仿宋"/>
          <w:sz w:val="32"/>
          <w:szCs w:val="32"/>
        </w:rPr>
        <w:t>比例：</w:t>
      </w:r>
      <w:r>
        <w:rPr>
          <w:rFonts w:hint="eastAsia" w:ascii="仿宋" w:hAnsi="仿宋" w:eastAsia="仿宋"/>
          <w:sz w:val="32"/>
          <w:szCs w:val="32"/>
        </w:rPr>
        <w:t>在职人员93%，退休人员96%。</w:t>
      </w:r>
    </w:p>
    <w:p>
      <w:pPr>
        <w:pStyle w:val="10"/>
        <w:spacing w:line="560" w:lineRule="exact"/>
      </w:pPr>
      <w:bookmarkStart w:id="36" w:name="_Toc519450164"/>
      <w:r>
        <w:rPr>
          <w:rFonts w:hint="eastAsia"/>
        </w:rPr>
        <w:t>2、门诊</w:t>
      </w:r>
      <w:bookmarkEnd w:id="36"/>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（1）普通门诊。普通门诊费用可由医保个人账户支付，个人账户余额不足部分，由个人现金支付。</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（2）门诊统筹。参保人员在一级及以下定点公立医疗机构发生门诊费用，每次按目录内费用给予报销</w:t>
      </w:r>
      <w:r>
        <w:rPr>
          <w:rFonts w:ascii="仿宋" w:hAnsi="仿宋" w:eastAsia="仿宋"/>
          <w:sz w:val="32"/>
          <w:szCs w:val="32"/>
        </w:rPr>
        <w:t>70%</w:t>
      </w:r>
      <w:r>
        <w:rPr>
          <w:rFonts w:hint="eastAsia" w:ascii="仿宋" w:hAnsi="仿宋" w:eastAsia="仿宋"/>
          <w:sz w:val="32"/>
          <w:szCs w:val="32"/>
        </w:rPr>
        <w:t>，但最高不超过50元；年度内累计报销总额不超过500元。</w:t>
      </w:r>
    </w:p>
    <w:p>
      <w:pPr>
        <w:pStyle w:val="10"/>
        <w:spacing w:line="560" w:lineRule="exact"/>
        <w:rPr>
          <w:rFonts w:hint="eastAsia"/>
        </w:rPr>
      </w:pPr>
      <w:bookmarkStart w:id="37" w:name="_Toc519450165"/>
      <w:r>
        <w:rPr>
          <w:rFonts w:hint="eastAsia"/>
        </w:rPr>
        <w:t>3、门诊特殊病种</w:t>
      </w:r>
      <w:bookmarkEnd w:id="37"/>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参保人员有关门诊特殊病种的费用，按年度累计达到统筹基金起付标准以上后，可由统筹基金支付一定比例费用。</w:t>
      </w:r>
    </w:p>
    <w:p>
      <w:pPr>
        <w:pStyle w:val="12"/>
        <w:spacing w:before="120" w:beforeLines="50" w:beforeAutospacing="0" w:after="120" w:afterLines="50" w:afterAutospacing="0" w:line="560" w:lineRule="exact"/>
        <w:ind w:firstLine="480" w:firstLineChars="150"/>
        <w:jc w:val="both"/>
        <w:rPr>
          <w:rFonts w:ascii="仿宋" w:hAnsi="仿宋" w:eastAsia="仿宋"/>
          <w:sz w:val="32"/>
          <w:szCs w:val="32"/>
        </w:rPr>
      </w:pPr>
      <w:r>
        <w:rPr>
          <w:rFonts w:hint="eastAsia" w:ascii="仿宋" w:hAnsi="仿宋" w:eastAsia="仿宋"/>
          <w:sz w:val="32"/>
          <w:szCs w:val="32"/>
        </w:rPr>
        <w:t>（1）病种名称</w:t>
      </w:r>
    </w:p>
    <w:p>
      <w:pPr>
        <w:pStyle w:val="12"/>
        <w:spacing w:before="120" w:beforeLines="50" w:beforeAutospacing="0" w:after="120" w:afterLines="50" w:afterAutospacing="0" w:line="560" w:lineRule="exact"/>
        <w:ind w:firstLine="640" w:firstLineChars="200"/>
        <w:jc w:val="both"/>
        <w:rPr>
          <w:rFonts w:ascii="仿宋" w:hAnsi="仿宋" w:eastAsia="仿宋"/>
          <w:sz w:val="32"/>
          <w:szCs w:val="32"/>
        </w:rPr>
      </w:pPr>
      <w:r>
        <w:rPr>
          <w:rFonts w:hint="eastAsia" w:ascii="仿宋" w:hAnsi="仿宋" w:eastAsia="仿宋"/>
          <w:sz w:val="32"/>
          <w:szCs w:val="32"/>
        </w:rPr>
        <w:t>共计26大病类（35个病种）：重性精神病（精神分裂症、双相情感障碍、偏执性精神障碍、分裂情感性精神障碍、癫痫所致精神障碍、严重精神发育迟滞）；恶性肿瘤(化学治疗和放射治疗);白血病</w:t>
      </w:r>
      <w:r>
        <w:rPr>
          <w:rFonts w:ascii="仿宋" w:hAnsi="仿宋" w:eastAsia="仿宋"/>
          <w:sz w:val="32"/>
          <w:szCs w:val="32"/>
        </w:rPr>
        <w:t>；</w:t>
      </w:r>
      <w:r>
        <w:rPr>
          <w:rFonts w:hint="eastAsia" w:ascii="仿宋" w:hAnsi="仿宋" w:eastAsia="仿宋"/>
          <w:sz w:val="32"/>
          <w:szCs w:val="32"/>
        </w:rPr>
        <w:t>重症尿毒症透析;器官移植抗排异反应;血友病;白内障</w:t>
      </w:r>
      <w:r>
        <w:rPr>
          <w:rFonts w:ascii="仿宋" w:hAnsi="仿宋" w:eastAsia="仿宋"/>
          <w:sz w:val="32"/>
          <w:szCs w:val="32"/>
        </w:rPr>
        <w:t>门诊手术治疗；</w:t>
      </w:r>
      <w:r>
        <w:rPr>
          <w:rFonts w:hint="eastAsia" w:ascii="仿宋" w:hAnsi="仿宋" w:eastAsia="仿宋"/>
          <w:sz w:val="32"/>
          <w:szCs w:val="32"/>
        </w:rPr>
        <w:t>危重病抢救；再生障碍性贫血;系统性红斑狼疮;癫痫病;高血压;糖尿病;慢性心功能不全;结核病规范治疗;慢性阻塞性肺疾病、慢性支气管炎;强直性脊柱炎;肝硬化(失代偿期);脑卒中及后遗症;帕金森氏病及综合症;重症肌无力;类风湿性关节炎；支气管哮喘；慢性病毒性肝炎（乙型、丙型活动期）；甲状腺功能亢进；慢性肾炎。</w:t>
      </w:r>
    </w:p>
    <w:p>
      <w:pPr>
        <w:spacing w:before="120" w:beforeLines="50" w:after="120" w:afterLines="50" w:line="560" w:lineRule="exact"/>
        <w:ind w:firstLine="480" w:firstLineChars="150"/>
        <w:rPr>
          <w:rFonts w:hint="eastAsia" w:ascii="仿宋" w:hAnsi="仿宋" w:eastAsia="仿宋"/>
          <w:sz w:val="32"/>
          <w:szCs w:val="32"/>
        </w:rPr>
      </w:pPr>
      <w:r>
        <w:rPr>
          <w:rFonts w:hint="eastAsia" w:ascii="仿宋" w:hAnsi="仿宋" w:eastAsia="仿宋"/>
          <w:sz w:val="32"/>
          <w:szCs w:val="32"/>
        </w:rPr>
        <w:t>（2）起付线和报销比例</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起付线</w:t>
      </w:r>
      <w:r>
        <w:rPr>
          <w:rFonts w:ascii="仿宋" w:hAnsi="仿宋" w:eastAsia="仿宋"/>
          <w:sz w:val="32"/>
          <w:szCs w:val="32"/>
        </w:rPr>
        <w:t>为</w:t>
      </w:r>
      <w:r>
        <w:rPr>
          <w:rFonts w:hint="eastAsia" w:ascii="仿宋" w:hAnsi="仿宋" w:eastAsia="仿宋"/>
          <w:sz w:val="32"/>
          <w:szCs w:val="32"/>
        </w:rPr>
        <w:t>三级医院800元，二级医院600元，一级医院300元；年度内按所选的最高级别医院计算起付线。报销比例与住院报销比例相同。重性精神病不设起付线，结核病在指定定点医院诊疗不设起付线（其中属于国家对结核病患者免费提供的药品、耗材和诊疗项目，不能从医保基金重复结算）。</w:t>
      </w:r>
    </w:p>
    <w:p>
      <w:pPr>
        <w:spacing w:before="120" w:beforeLines="50" w:after="120" w:afterLines="50" w:line="560" w:lineRule="exact"/>
        <w:ind w:firstLine="420"/>
        <w:rPr>
          <w:rFonts w:hint="eastAsia" w:ascii="仿宋" w:hAnsi="仿宋" w:eastAsia="仿宋"/>
          <w:sz w:val="32"/>
          <w:szCs w:val="32"/>
        </w:rPr>
      </w:pPr>
      <w:r>
        <w:rPr>
          <w:rFonts w:hint="eastAsia" w:ascii="仿宋" w:hAnsi="仿宋" w:eastAsia="仿宋"/>
          <w:sz w:val="32"/>
          <w:szCs w:val="32"/>
        </w:rPr>
        <w:t>（3）申报与确定</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患有门诊特殊病种范围疾病的参保职工，需凭二级及以上医院专科副主任及以上医师出具《门诊特殊病种申请表》，并提供诊断依据材料（出院小结、检查报告、门诊病历），报送医保经办机构确定。</w:t>
      </w:r>
    </w:p>
    <w:p>
      <w:pPr>
        <w:spacing w:before="120" w:beforeLines="50" w:after="120" w:afterLines="50" w:line="560" w:lineRule="exact"/>
        <w:ind w:firstLine="420"/>
        <w:rPr>
          <w:rFonts w:hint="eastAsia" w:ascii="仿宋" w:hAnsi="仿宋" w:eastAsia="仿宋"/>
          <w:sz w:val="32"/>
          <w:szCs w:val="32"/>
        </w:rPr>
      </w:pPr>
      <w:r>
        <w:rPr>
          <w:rFonts w:hint="eastAsia" w:ascii="仿宋" w:hAnsi="仿宋" w:eastAsia="仿宋"/>
          <w:sz w:val="32"/>
          <w:szCs w:val="32"/>
        </w:rPr>
        <w:t>（4）就诊医院</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可自行选择市内两家定点医疗机构（机构等级不限）就诊</w:t>
      </w:r>
      <w:r>
        <w:rPr>
          <w:rFonts w:ascii="仿宋" w:hAnsi="仿宋" w:eastAsia="仿宋"/>
          <w:sz w:val="32"/>
          <w:szCs w:val="32"/>
        </w:rPr>
        <w:t>特殊病种</w:t>
      </w:r>
      <w:r>
        <w:rPr>
          <w:rFonts w:hint="eastAsia" w:ascii="仿宋" w:hAnsi="仿宋" w:eastAsia="仿宋"/>
          <w:sz w:val="32"/>
          <w:szCs w:val="32"/>
        </w:rPr>
        <w:t>。</w:t>
      </w:r>
    </w:p>
    <w:p>
      <w:pPr>
        <w:pStyle w:val="10"/>
        <w:spacing w:line="560" w:lineRule="exact"/>
        <w:rPr>
          <w:rFonts w:hint="eastAsia"/>
        </w:rPr>
      </w:pPr>
      <w:bookmarkStart w:id="38" w:name="_Toc519450166"/>
      <w:r>
        <w:rPr>
          <w:rFonts w:hint="eastAsia" w:cs="宋体"/>
        </w:rPr>
        <w:t>4、</w:t>
      </w:r>
      <w:r>
        <w:rPr>
          <w:rFonts w:hint="eastAsia"/>
        </w:rPr>
        <w:t>大额医疗费用商业补充保险</w:t>
      </w:r>
      <w:bookmarkEnd w:id="38"/>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大额医疗费用商业补充医疗保险是以市医管中心作为投保人，我市职工</w:t>
      </w:r>
      <w:r>
        <w:rPr>
          <w:rFonts w:ascii="仿宋" w:hAnsi="仿宋" w:eastAsia="仿宋"/>
          <w:sz w:val="32"/>
          <w:szCs w:val="32"/>
        </w:rPr>
        <w:t>医保</w:t>
      </w:r>
      <w:r>
        <w:rPr>
          <w:rFonts w:hint="eastAsia" w:ascii="仿宋" w:hAnsi="仿宋" w:eastAsia="仿宋"/>
          <w:sz w:val="32"/>
          <w:szCs w:val="32"/>
        </w:rPr>
        <w:t>参保人</w:t>
      </w:r>
      <w:r>
        <w:rPr>
          <w:rFonts w:ascii="仿宋" w:hAnsi="仿宋" w:eastAsia="仿宋"/>
          <w:sz w:val="32"/>
          <w:szCs w:val="32"/>
        </w:rPr>
        <w:t>员</w:t>
      </w:r>
      <w:r>
        <w:rPr>
          <w:rFonts w:hint="eastAsia" w:ascii="仿宋" w:hAnsi="仿宋" w:eastAsia="仿宋"/>
          <w:sz w:val="32"/>
          <w:szCs w:val="32"/>
        </w:rPr>
        <w:t>作为被保险人，向商业保险公司集体投保，被保险人结算年度内发生的超过基本医疗保险统筹基金最高封顶线以上的目录内医疗费用，由商业保险公司赔付90%，参保职工自付10%。2018年度商保起付线8.4万元，商业保险最高赔额22.68万元。</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超过年度商业保险最高赔额</w:t>
      </w:r>
      <w:r>
        <w:rPr>
          <w:rFonts w:ascii="仿宋" w:hAnsi="仿宋" w:eastAsia="仿宋"/>
          <w:sz w:val="32"/>
          <w:szCs w:val="32"/>
        </w:rPr>
        <w:t>后</w:t>
      </w:r>
      <w:r>
        <w:rPr>
          <w:rFonts w:hint="eastAsia" w:ascii="仿宋" w:hAnsi="仿宋" w:eastAsia="仿宋"/>
          <w:sz w:val="32"/>
          <w:szCs w:val="32"/>
        </w:rPr>
        <w:t>的</w:t>
      </w:r>
      <w:r>
        <w:rPr>
          <w:rFonts w:ascii="仿宋" w:hAnsi="仿宋" w:eastAsia="仿宋"/>
          <w:sz w:val="32"/>
          <w:szCs w:val="32"/>
        </w:rPr>
        <w:t>医疗费用</w:t>
      </w:r>
      <w:r>
        <w:rPr>
          <w:rFonts w:hint="eastAsia" w:ascii="仿宋" w:hAnsi="仿宋" w:eastAsia="仿宋"/>
          <w:sz w:val="32"/>
          <w:szCs w:val="32"/>
        </w:rPr>
        <w:t>返回医保统筹基金支付，报销比例为目录内费用100%支付。</w:t>
      </w:r>
    </w:p>
    <w:p>
      <w:pPr>
        <w:pStyle w:val="10"/>
        <w:spacing w:line="560" w:lineRule="exact"/>
        <w:rPr>
          <w:rFonts w:hint="eastAsia"/>
        </w:rPr>
      </w:pPr>
      <w:bookmarkStart w:id="39" w:name="_Toc519450167"/>
      <w:r>
        <w:rPr>
          <w:rFonts w:hint="eastAsia"/>
        </w:rPr>
        <w:t>5、结算</w:t>
      </w:r>
      <w:bookmarkEnd w:id="39"/>
    </w:p>
    <w:p>
      <w:pPr>
        <w:spacing w:line="560" w:lineRule="exact"/>
        <w:ind w:firstLine="640" w:firstLineChars="200"/>
        <w:rPr>
          <w:rFonts w:hint="eastAsia" w:ascii="仿宋" w:hAnsi="仿宋" w:eastAsia="仿宋" w:cs="黑体"/>
          <w:sz w:val="32"/>
          <w:szCs w:val="32"/>
        </w:rPr>
      </w:pPr>
      <w:r>
        <w:rPr>
          <w:rFonts w:hint="eastAsia" w:ascii="仿宋" w:hAnsi="仿宋" w:eastAsia="仿宋"/>
          <w:sz w:val="32"/>
          <w:szCs w:val="32"/>
        </w:rPr>
        <w:t>参保人员在签约医疗机构就医产生的住院或门诊医疗费用，报销部分由统筹基金支付，个人负担部分由个人账户支付或个人现金自付，通过刷社会保障卡即时结报。参保人员需要到外地住院治疗的,除厦门、泉州、</w:t>
      </w:r>
      <w:r>
        <w:rPr>
          <w:rFonts w:ascii="仿宋" w:hAnsi="仿宋" w:eastAsia="仿宋"/>
          <w:sz w:val="32"/>
          <w:szCs w:val="32"/>
        </w:rPr>
        <w:t>龙岩</w:t>
      </w:r>
      <w:r>
        <w:rPr>
          <w:rFonts w:hint="eastAsia" w:ascii="仿宋" w:hAnsi="仿宋" w:eastAsia="仿宋"/>
          <w:sz w:val="32"/>
          <w:szCs w:val="32"/>
        </w:rPr>
        <w:t>可直接刷卡结算外，应事先到医保经办机构报备后方可在就诊医院刷社会保障卡即时</w:t>
      </w:r>
      <w:r>
        <w:rPr>
          <w:rFonts w:hint="eastAsia" w:ascii="仿宋" w:hAnsi="仿宋" w:eastAsia="仿宋" w:cs="黑体"/>
          <w:sz w:val="32"/>
          <w:szCs w:val="32"/>
        </w:rPr>
        <w:t>结报。</w:t>
      </w:r>
    </w:p>
    <w:p>
      <w:pPr>
        <w:pStyle w:val="10"/>
        <w:spacing w:line="560" w:lineRule="exact"/>
        <w:rPr>
          <w:rFonts w:hint="eastAsia"/>
        </w:rPr>
      </w:pPr>
      <w:bookmarkStart w:id="40" w:name="_Toc519450168"/>
      <w:r>
        <w:rPr>
          <w:rFonts w:hint="eastAsia"/>
        </w:rPr>
        <w:t>6、首次参保待遇</w:t>
      </w:r>
      <w:bookmarkEnd w:id="40"/>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首次参加基本医疗保险的参保人员（含灵活就业人员），连续参保缴费时间（含视同缴费年限）</w:t>
      </w:r>
      <w:r>
        <w:rPr>
          <w:rFonts w:hint="eastAsia" w:ascii="仿宋" w:hAnsi="仿宋" w:eastAsia="仿宋"/>
          <w:sz w:val="32"/>
          <w:szCs w:val="32"/>
        </w:rPr>
        <w:t>不</w:t>
      </w:r>
      <w:r>
        <w:rPr>
          <w:rFonts w:hint="eastAsia" w:ascii="仿宋" w:hAnsi="仿宋" w:eastAsia="仿宋" w:cs="黑体"/>
          <w:sz w:val="32"/>
          <w:szCs w:val="32"/>
        </w:rPr>
        <w:t>满12个月</w:t>
      </w:r>
      <w:r>
        <w:rPr>
          <w:rFonts w:hint="eastAsia" w:ascii="仿宋" w:hAnsi="仿宋" w:eastAsia="仿宋"/>
          <w:sz w:val="32"/>
          <w:szCs w:val="32"/>
        </w:rPr>
        <w:t>的</w:t>
      </w:r>
      <w:r>
        <w:rPr>
          <w:rFonts w:hint="eastAsia" w:ascii="仿宋" w:hAnsi="仿宋" w:eastAsia="仿宋" w:cs="黑体"/>
          <w:sz w:val="32"/>
          <w:szCs w:val="32"/>
        </w:rPr>
        <w:t>，</w:t>
      </w:r>
      <w:r>
        <w:rPr>
          <w:rFonts w:hint="eastAsia" w:ascii="仿宋" w:hAnsi="仿宋" w:eastAsia="仿宋"/>
          <w:sz w:val="32"/>
          <w:szCs w:val="32"/>
        </w:rPr>
        <w:t>目录内医疗费用统筹基金支付比例为50%；连续参保缴费时间（含视同缴费年限）满12个月及上的，</w:t>
      </w:r>
      <w:r>
        <w:rPr>
          <w:rFonts w:hint="eastAsia" w:ascii="仿宋" w:hAnsi="仿宋" w:eastAsia="仿宋" w:cs="黑体"/>
          <w:sz w:val="32"/>
          <w:szCs w:val="32"/>
        </w:rPr>
        <w:t>按正常参保人员享受医保待遇。</w:t>
      </w:r>
    </w:p>
    <w:p>
      <w:pPr>
        <w:pStyle w:val="10"/>
        <w:rPr>
          <w:rFonts w:hint="eastAsia"/>
        </w:rPr>
      </w:pPr>
      <w:bookmarkStart w:id="41" w:name="_Toc519450169"/>
      <w:r>
        <w:rPr>
          <w:rFonts w:hint="eastAsia"/>
        </w:rPr>
        <w:t>7、医保关系中断接续及待遇</w:t>
      </w:r>
      <w:bookmarkEnd w:id="41"/>
    </w:p>
    <w:p>
      <w:pPr>
        <w:spacing w:line="560" w:lineRule="exact"/>
        <w:ind w:firstLine="640" w:firstLineChars="200"/>
        <w:rPr>
          <w:rFonts w:hint="eastAsia" w:ascii="仿宋" w:hAnsi="仿宋" w:eastAsia="仿宋" w:cs="黑体"/>
          <w:sz w:val="32"/>
          <w:szCs w:val="32"/>
        </w:rPr>
      </w:pPr>
      <w:r>
        <w:rPr>
          <w:rFonts w:hint="eastAsia" w:ascii="仿宋" w:hAnsi="仿宋" w:eastAsia="仿宋" w:cs="黑体"/>
          <w:sz w:val="32"/>
          <w:szCs w:val="32"/>
        </w:rPr>
        <w:t>参保人员因各种原因中断缴费的，中断前后实际缴费年限合并计算，其医疗保险待遇按下列办法执行：</w:t>
      </w:r>
    </w:p>
    <w:p>
      <w:pPr>
        <w:spacing w:line="560" w:lineRule="exact"/>
        <w:ind w:firstLine="480" w:firstLineChars="150"/>
        <w:rPr>
          <w:rFonts w:hint="eastAsia" w:ascii="仿宋" w:hAnsi="仿宋" w:eastAsia="仿宋" w:cs="黑体"/>
          <w:sz w:val="32"/>
          <w:szCs w:val="32"/>
        </w:rPr>
      </w:pPr>
      <w:r>
        <w:rPr>
          <w:rFonts w:hint="eastAsia" w:ascii="仿宋" w:hAnsi="仿宋" w:eastAsia="仿宋" w:cs="黑体"/>
          <w:sz w:val="32"/>
          <w:szCs w:val="32"/>
        </w:rPr>
        <w:t>（1）中断时间不超过（含）3个月的，以本人当期医疗保险缴费工资为基数补缴后，中断缴费期间发生的医疗费用由医保统筹基金按规定予以支付。</w:t>
      </w:r>
    </w:p>
    <w:p>
      <w:pPr>
        <w:spacing w:line="560" w:lineRule="exact"/>
        <w:ind w:firstLine="480" w:firstLineChars="150"/>
        <w:rPr>
          <w:rFonts w:ascii="仿宋" w:hAnsi="仿宋" w:eastAsia="仿宋" w:cs="黑体"/>
          <w:sz w:val="32"/>
          <w:szCs w:val="32"/>
        </w:rPr>
      </w:pPr>
      <w:r>
        <w:rPr>
          <w:rFonts w:hint="eastAsia" w:ascii="仿宋" w:hAnsi="仿宋" w:eastAsia="仿宋" w:cs="黑体"/>
          <w:sz w:val="32"/>
          <w:szCs w:val="32"/>
        </w:rPr>
        <w:t>（2）中断时间超过3个月的，中断缴费期间发生的医疗费用医保统筹基金不予支付。本人愿意补缴的，以当年度规定的补缴基数补缴中断期间的基本医疗保险费后按连续参保相关待遇执行；本人不愿补缴中断期间的基本医疗保险费的，在重新参保连续缴费12个月内，目录内医疗费用统筹基金支付比例为50%，连续缴费12个月以上的，按正常缴费享受待遇。</w:t>
      </w:r>
    </w:p>
    <w:p>
      <w:pPr>
        <w:spacing w:line="560" w:lineRule="exact"/>
        <w:ind w:firstLine="640" w:firstLineChars="200"/>
        <w:rPr>
          <w:rFonts w:ascii="仿宋" w:hAnsi="仿宋" w:eastAsia="仿宋"/>
          <w:sz w:val="32"/>
          <w:szCs w:val="32"/>
        </w:rPr>
      </w:pPr>
    </w:p>
    <w:p>
      <w:pPr>
        <w:spacing w:line="560" w:lineRule="exact"/>
        <w:ind w:firstLine="560" w:firstLineChars="200"/>
        <w:rPr>
          <w:rFonts w:ascii="楷体" w:hAnsi="楷体" w:eastAsia="楷体" w:cs="黑体"/>
          <w:sz w:val="28"/>
          <w:szCs w:val="28"/>
        </w:rPr>
      </w:pPr>
      <w:r>
        <w:rPr>
          <w:rFonts w:hint="eastAsia" w:ascii="黑体" w:hAnsi="黑体" w:eastAsia="黑体"/>
          <w:sz w:val="28"/>
          <w:szCs w:val="28"/>
        </w:rPr>
        <w:t>参考文件</w:t>
      </w:r>
      <w:r>
        <w:rPr>
          <w:rFonts w:hint="eastAsia" w:ascii="黑体" w:hAnsi="黑体" w:eastAsia="黑体" w:cs="黑体"/>
          <w:sz w:val="28"/>
          <w:szCs w:val="28"/>
        </w:rPr>
        <w:t>：</w:t>
      </w:r>
      <w:r>
        <w:rPr>
          <w:rFonts w:hint="eastAsia" w:ascii="楷体" w:hAnsi="楷体" w:eastAsia="楷体"/>
          <w:sz w:val="28"/>
          <w:szCs w:val="28"/>
        </w:rPr>
        <w:t>漳政综〔2018〕100号、漳政综〔2016〕102号、</w:t>
      </w:r>
      <w:r>
        <w:rPr>
          <w:rFonts w:hint="eastAsia" w:ascii="楷体" w:hAnsi="楷体" w:eastAsia="楷体" w:cs="Arial"/>
          <w:sz w:val="28"/>
          <w:szCs w:val="28"/>
        </w:rPr>
        <w:t>漳政〔2003〕综88号</w:t>
      </w:r>
    </w:p>
    <w:p>
      <w:pPr>
        <w:spacing w:line="560" w:lineRule="exact"/>
        <w:ind w:firstLine="643" w:firstLineChars="200"/>
        <w:rPr>
          <w:rFonts w:ascii="仿宋" w:hAnsi="仿宋" w:eastAsia="仿宋"/>
          <w:b/>
          <w:bCs/>
          <w:sz w:val="32"/>
          <w:szCs w:val="32"/>
        </w:rPr>
      </w:pPr>
    </w:p>
    <w:p>
      <w:pPr>
        <w:pStyle w:val="2"/>
        <w:spacing w:line="560" w:lineRule="exact"/>
      </w:pPr>
      <w:bookmarkStart w:id="42" w:name="_Toc519450170"/>
      <w:r>
        <w:rPr>
          <w:rFonts w:hint="eastAsia"/>
        </w:rPr>
        <w:t>（二）公务员医疗补助</w:t>
      </w:r>
      <w:bookmarkEnd w:id="42"/>
    </w:p>
    <w:p>
      <w:pPr>
        <w:pStyle w:val="10"/>
        <w:rPr>
          <w:rFonts w:hint="eastAsia"/>
        </w:rPr>
      </w:pPr>
      <w:bookmarkStart w:id="43" w:name="_Toc519450171"/>
      <w:r>
        <w:rPr>
          <w:rFonts w:hint="eastAsia"/>
        </w:rPr>
        <w:t>1、医疗补助</w:t>
      </w:r>
      <w:r>
        <w:t>对象及</w:t>
      </w:r>
      <w:r>
        <w:rPr>
          <w:rFonts w:hint="eastAsia"/>
        </w:rPr>
        <w:t>相关</w:t>
      </w:r>
      <w:r>
        <w:t>待遇</w:t>
      </w:r>
      <w:bookmarkEnd w:id="43"/>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A、正处级干部（在职和退休，含军转干部）和任职10年及以上或年满55周岁副处级干部及符合规定的高级专业技术职称等医疗服务对象：住院和门诊（含门诊特殊病种）属基本医疗保险目录范围内的费用（含起付标准）实报实销，目录外费用由个人负担。</w:t>
      </w:r>
    </w:p>
    <w:p>
      <w:pPr>
        <w:spacing w:before="120" w:beforeLines="50" w:after="120" w:afterLines="50" w:line="560" w:lineRule="exact"/>
        <w:ind w:firstLine="640" w:firstLineChars="200"/>
        <w:rPr>
          <w:rFonts w:ascii="仿宋" w:hAnsi="仿宋" w:eastAsia="仿宋"/>
          <w:sz w:val="32"/>
          <w:szCs w:val="32"/>
        </w:rPr>
      </w:pPr>
      <w:r>
        <w:rPr>
          <w:rFonts w:ascii="仿宋" w:hAnsi="仿宋" w:eastAsia="仿宋"/>
          <w:sz w:val="32"/>
          <w:szCs w:val="32"/>
        </w:rPr>
        <w:t>B</w:t>
      </w:r>
      <w:r>
        <w:rPr>
          <w:rFonts w:hint="eastAsia" w:ascii="仿宋" w:hAnsi="仿宋" w:eastAsia="仿宋"/>
          <w:sz w:val="32"/>
          <w:szCs w:val="32"/>
        </w:rPr>
        <w:t>、任职10年以下的副处级干部：普通门诊</w:t>
      </w:r>
      <w:r>
        <w:rPr>
          <w:rFonts w:ascii="仿宋" w:hAnsi="仿宋" w:eastAsia="仿宋"/>
          <w:sz w:val="32"/>
          <w:szCs w:val="32"/>
        </w:rPr>
        <w:t>医疗费用</w:t>
      </w:r>
      <w:r>
        <w:rPr>
          <w:rFonts w:hint="eastAsia" w:ascii="仿宋" w:hAnsi="仿宋" w:eastAsia="仿宋"/>
          <w:sz w:val="32"/>
          <w:szCs w:val="32"/>
        </w:rPr>
        <w:t>由个人负担；住院和门诊特殊病种属基本医疗保险目录范围内的费用（含起付标准）实报实销，目录外费用由个人负担。</w:t>
      </w:r>
    </w:p>
    <w:p>
      <w:pPr>
        <w:spacing w:before="120" w:beforeLines="50" w:after="120" w:afterLines="50" w:line="560" w:lineRule="exact"/>
        <w:ind w:firstLine="640" w:firstLineChars="200"/>
        <w:rPr>
          <w:rFonts w:ascii="仿宋" w:hAnsi="仿宋" w:eastAsia="仿宋"/>
          <w:sz w:val="32"/>
          <w:szCs w:val="32"/>
        </w:rPr>
      </w:pPr>
      <w:r>
        <w:rPr>
          <w:rFonts w:ascii="仿宋" w:hAnsi="仿宋" w:eastAsia="仿宋"/>
          <w:sz w:val="32"/>
          <w:szCs w:val="32"/>
        </w:rPr>
        <w:t>C</w:t>
      </w:r>
      <w:r>
        <w:rPr>
          <w:rFonts w:hint="eastAsia" w:ascii="仿宋" w:hAnsi="仿宋" w:eastAsia="仿宋"/>
          <w:sz w:val="32"/>
          <w:szCs w:val="32"/>
        </w:rPr>
        <w:t>、普通退休人员：普通门诊医疗费用由个人负担；住院起付标准由个人支付，属基本医疗保险目录范围内的费用全额报支，目录外费用由个人负担。</w:t>
      </w:r>
    </w:p>
    <w:p>
      <w:pPr>
        <w:spacing w:before="120" w:beforeLines="50" w:after="120" w:afterLines="50" w:line="560" w:lineRule="exact"/>
        <w:ind w:firstLine="640" w:firstLineChars="200"/>
        <w:rPr>
          <w:rFonts w:ascii="仿宋" w:hAnsi="仿宋" w:eastAsia="仿宋"/>
          <w:sz w:val="32"/>
          <w:szCs w:val="32"/>
        </w:rPr>
      </w:pPr>
      <w:r>
        <w:rPr>
          <w:rFonts w:ascii="仿宋" w:hAnsi="仿宋" w:eastAsia="仿宋"/>
          <w:sz w:val="32"/>
          <w:szCs w:val="32"/>
        </w:rPr>
        <w:t>D</w:t>
      </w:r>
      <w:r>
        <w:rPr>
          <w:rFonts w:hint="eastAsia" w:ascii="仿宋" w:hAnsi="仿宋" w:eastAsia="仿宋"/>
          <w:sz w:val="32"/>
          <w:szCs w:val="32"/>
        </w:rPr>
        <w:t>、普通在职人员：普通门诊医疗费用由个人负担；住院起付标准由个人支付，属基本医疗保险目录范围内的费用，个人负担部分报支60%，目录外费用由个人负担。</w:t>
      </w:r>
    </w:p>
    <w:p>
      <w:pPr>
        <w:spacing w:before="120" w:beforeLines="50" w:after="120" w:afterLines="50" w:line="560" w:lineRule="exact"/>
        <w:ind w:firstLine="640" w:firstLineChars="200"/>
        <w:rPr>
          <w:rFonts w:ascii="仿宋" w:hAnsi="仿宋" w:eastAsia="仿宋"/>
          <w:sz w:val="32"/>
          <w:szCs w:val="32"/>
        </w:rPr>
      </w:pPr>
      <w:r>
        <w:rPr>
          <w:rFonts w:ascii="仿宋" w:hAnsi="仿宋" w:eastAsia="仿宋"/>
          <w:sz w:val="32"/>
          <w:szCs w:val="32"/>
        </w:rPr>
        <w:t>E</w:t>
      </w:r>
      <w:r>
        <w:rPr>
          <w:rFonts w:hint="eastAsia" w:ascii="仿宋" w:hAnsi="仿宋" w:eastAsia="仿宋"/>
          <w:sz w:val="32"/>
          <w:szCs w:val="32"/>
        </w:rPr>
        <w:t>、处级以下参保人员：门诊特殊病种起付标准由个人支付，属基本医疗保险目录范围内的费用，个人负担部分报支60%，目录外费用由个人负担。</w:t>
      </w:r>
    </w:p>
    <w:p>
      <w:pPr>
        <w:pStyle w:val="10"/>
        <w:rPr>
          <w:rFonts w:hint="eastAsia"/>
        </w:rPr>
      </w:pPr>
      <w:bookmarkStart w:id="44" w:name="_Toc519450172"/>
      <w:r>
        <w:rPr>
          <w:rFonts w:hint="eastAsia"/>
        </w:rPr>
        <w:t>2、医疗补助</w:t>
      </w:r>
      <w:r>
        <w:t>定点医院</w:t>
      </w:r>
      <w:bookmarkEnd w:id="44"/>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全市二级以上（含二级）公立定点医疗机构和正兴医院。</w:t>
      </w:r>
    </w:p>
    <w:p>
      <w:pPr>
        <w:spacing w:before="120" w:beforeLines="50" w:after="120" w:afterLines="50" w:line="560" w:lineRule="exact"/>
        <w:ind w:firstLine="640" w:firstLineChars="200"/>
        <w:rPr>
          <w:rFonts w:ascii="仿宋" w:hAnsi="仿宋" w:eastAsia="仿宋"/>
          <w:sz w:val="32"/>
          <w:szCs w:val="32"/>
        </w:rPr>
      </w:pPr>
    </w:p>
    <w:p>
      <w:pPr>
        <w:spacing w:before="120" w:beforeLines="50" w:after="120" w:afterLines="50" w:line="560" w:lineRule="exact"/>
        <w:ind w:firstLine="560" w:firstLineChars="200"/>
        <w:rPr>
          <w:rFonts w:hint="eastAsia" w:ascii="仿宋" w:hAnsi="仿宋" w:eastAsia="仿宋"/>
          <w:sz w:val="28"/>
          <w:szCs w:val="28"/>
        </w:rPr>
      </w:pPr>
      <w:r>
        <w:rPr>
          <w:rFonts w:hint="eastAsia" w:ascii="黑体" w:hAnsi="黑体" w:eastAsia="黑体"/>
          <w:sz w:val="28"/>
          <w:szCs w:val="28"/>
        </w:rPr>
        <w:t>参考</w:t>
      </w:r>
      <w:r>
        <w:rPr>
          <w:rFonts w:ascii="黑体" w:hAnsi="黑体" w:eastAsia="黑体"/>
          <w:sz w:val="28"/>
          <w:szCs w:val="28"/>
        </w:rPr>
        <w:t>文件：</w:t>
      </w:r>
      <w:r>
        <w:rPr>
          <w:rFonts w:hint="eastAsia" w:ascii="楷体" w:hAnsi="楷体" w:eastAsia="楷体" w:cs="Arial"/>
          <w:sz w:val="28"/>
          <w:szCs w:val="28"/>
        </w:rPr>
        <w:t>漳政〔2003〕综88号、</w:t>
      </w:r>
      <w:r>
        <w:rPr>
          <w:rFonts w:hint="eastAsia" w:ascii="楷体" w:hAnsi="楷体" w:eastAsia="楷体"/>
          <w:sz w:val="28"/>
          <w:szCs w:val="28"/>
        </w:rPr>
        <w:t>漳医改办〔2003〕 第05号、漳委组综字〔2007〕6号、漳人社〔2015〕262号</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 xml:space="preserve"> </w:t>
      </w:r>
    </w:p>
    <w:p>
      <w:pPr>
        <w:pStyle w:val="2"/>
        <w:spacing w:line="560" w:lineRule="exact"/>
      </w:pPr>
      <w:bookmarkStart w:id="45" w:name="_Toc519450173"/>
      <w:r>
        <w:rPr>
          <w:rFonts w:hint="eastAsia"/>
        </w:rPr>
        <w:t>（三）职工生育保险</w:t>
      </w:r>
      <w:bookmarkEnd w:id="45"/>
    </w:p>
    <w:p>
      <w:pPr>
        <w:pStyle w:val="10"/>
        <w:spacing w:line="560" w:lineRule="exact"/>
        <w:rPr>
          <w:rFonts w:hint="eastAsia"/>
        </w:rPr>
      </w:pPr>
      <w:bookmarkStart w:id="46" w:name="_Toc519450174"/>
      <w:r>
        <w:rPr>
          <w:rFonts w:hint="eastAsia"/>
        </w:rPr>
        <w:t>1、生育医疗费用</w:t>
      </w:r>
      <w:bookmarkEnd w:id="46"/>
    </w:p>
    <w:p>
      <w:pPr>
        <w:pStyle w:val="31"/>
        <w:spacing w:before="120" w:beforeLines="50" w:after="120" w:afterLines="50" w:line="560" w:lineRule="exact"/>
        <w:ind w:firstLine="640"/>
        <w:jc w:val="left"/>
        <w:rPr>
          <w:rFonts w:ascii="仿宋" w:hAnsi="仿宋" w:eastAsia="仿宋" w:cs="宋体"/>
          <w:sz w:val="32"/>
          <w:szCs w:val="32"/>
        </w:rPr>
      </w:pPr>
      <w:r>
        <w:rPr>
          <w:rFonts w:hint="eastAsia" w:ascii="仿宋" w:hAnsi="仿宋" w:eastAsia="仿宋" w:cs="宋体"/>
          <w:sz w:val="32"/>
          <w:szCs w:val="32"/>
        </w:rPr>
        <w:t>本人生育医疗费用纳入基本医疗保险支出（首次参加职工医保，连续参保缴费不满12个月的，统筹基金支付比例为50%）；本人未参加职工基本医疗保险，但符合生育保险费用报销政策规定的，按原生育保险政策规定执行。</w:t>
      </w:r>
    </w:p>
    <w:p>
      <w:pPr>
        <w:pStyle w:val="10"/>
        <w:spacing w:line="560" w:lineRule="exact"/>
        <w:rPr>
          <w:rFonts w:hint="eastAsia"/>
        </w:rPr>
      </w:pPr>
      <w:bookmarkStart w:id="47" w:name="_Toc519450175"/>
      <w:r>
        <w:rPr>
          <w:rFonts w:hint="eastAsia"/>
        </w:rPr>
        <w:t>2、生育津贴</w:t>
      </w:r>
      <w:bookmarkEnd w:id="47"/>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职工生育、实施计划生育手术符合国家和我省计划生育政策，且在分娩、妊娠终止、实施计划生育手术前连续缴费满12个月（含当月）的，方可享受生育津贴。参保职工因各种原因中断生育保险缴费时间三个月以内(含三个月)的，应当以我市当年度规定的补缴基数一次性补缴后，方可领取生育津贴。中断缴费时间超过三个月的，连续缴费时间重新计算，从最后一次建立生育保险关系起计算缴费年限。</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生育津贴按职工所在用人单位上年度月平均缴费工资，以每月30天进行折算，按日计发，时间标准如下：</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（1）生育：顺产98天；难产（含剖官产）的增加15天；生育多胞胎的，每多生育一个婴儿，增加15天。</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（2）流产（含人工流产或引产）：怀孕未满4个月流产的15天；怀孕满4个月流产的42天；怀孕满7个月流产的98天。</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（3）计划生育手术：放置官内节育器的7天；摘取官内节育器的3天；输卵管结扎的30天；输精管结扎的15天；输卵管复通术的30天；输精管复通术的15天。</w:t>
      </w:r>
    </w:p>
    <w:p>
      <w:pPr>
        <w:pStyle w:val="10"/>
        <w:spacing w:line="560" w:lineRule="exact"/>
        <w:rPr>
          <w:rFonts w:hint="eastAsia"/>
        </w:rPr>
      </w:pPr>
      <w:bookmarkStart w:id="48" w:name="_Toc519450176"/>
      <w:r>
        <w:rPr>
          <w:rFonts w:hint="eastAsia"/>
        </w:rPr>
        <w:t>3、其他</w:t>
      </w:r>
      <w:r>
        <w:t>情况</w:t>
      </w:r>
      <w:bookmarkEnd w:id="48"/>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参加生育保险男职工的未就业配偶（未参加城乡居民医保）生育的，按照国家规定享受生育医疗费用待遇，实行总额包干，包含产前检查和生育住院费用。具体包干标准，顺产2000元，剖官产或生育多胞胎3600元。</w:t>
      </w:r>
    </w:p>
    <w:p>
      <w:pPr>
        <w:spacing w:before="120" w:beforeLines="50" w:after="120" w:afterLines="50" w:line="560" w:lineRule="exact"/>
        <w:ind w:firstLine="640" w:firstLineChars="200"/>
        <w:rPr>
          <w:rFonts w:ascii="仿宋" w:hAnsi="仿宋" w:eastAsia="仿宋"/>
          <w:sz w:val="32"/>
          <w:szCs w:val="32"/>
        </w:rPr>
      </w:pPr>
    </w:p>
    <w:p>
      <w:pPr>
        <w:spacing w:before="120" w:beforeLines="50" w:after="120" w:afterLines="50" w:line="560" w:lineRule="exact"/>
        <w:ind w:firstLine="560" w:firstLineChars="200"/>
        <w:rPr>
          <w:rFonts w:ascii="楷体" w:hAnsi="楷体" w:eastAsia="楷体"/>
          <w:sz w:val="28"/>
          <w:szCs w:val="28"/>
        </w:rPr>
      </w:pPr>
      <w:r>
        <w:rPr>
          <w:rFonts w:hint="eastAsia" w:ascii="黑体" w:hAnsi="黑体" w:eastAsia="黑体"/>
          <w:sz w:val="28"/>
          <w:szCs w:val="28"/>
        </w:rPr>
        <w:t>参考文件</w:t>
      </w:r>
      <w:r>
        <w:rPr>
          <w:rFonts w:ascii="黑体" w:hAnsi="黑体" w:eastAsia="黑体"/>
          <w:sz w:val="28"/>
          <w:szCs w:val="28"/>
        </w:rPr>
        <w:t>：</w:t>
      </w:r>
      <w:r>
        <w:rPr>
          <w:rFonts w:hint="eastAsia" w:ascii="楷体" w:hAnsi="楷体" w:eastAsia="楷体"/>
          <w:sz w:val="28"/>
          <w:szCs w:val="28"/>
        </w:rPr>
        <w:t>漳政综〔2018〕100号、漳政办〔2016〕186号</w:t>
      </w:r>
    </w:p>
    <w:p>
      <w:pPr>
        <w:spacing w:before="120" w:beforeLines="50" w:after="120" w:afterLines="50" w:line="560" w:lineRule="exact"/>
        <w:ind w:firstLine="640" w:firstLineChars="200"/>
        <w:rPr>
          <w:rFonts w:hint="eastAsia" w:ascii="仿宋" w:hAnsi="仿宋" w:eastAsia="仿宋"/>
          <w:sz w:val="32"/>
          <w:szCs w:val="32"/>
        </w:rPr>
      </w:pPr>
    </w:p>
    <w:p>
      <w:pPr>
        <w:pStyle w:val="2"/>
        <w:spacing w:line="560" w:lineRule="exact"/>
      </w:pPr>
      <w:bookmarkStart w:id="49" w:name="_Toc519450177"/>
      <w:r>
        <w:rPr>
          <w:rFonts w:hint="eastAsia"/>
        </w:rPr>
        <w:t>（四）城乡居民医保</w:t>
      </w:r>
      <w:bookmarkEnd w:id="49"/>
    </w:p>
    <w:p>
      <w:pPr>
        <w:pStyle w:val="10"/>
        <w:spacing w:line="560" w:lineRule="exact"/>
      </w:pPr>
      <w:bookmarkStart w:id="50" w:name="_Toc519450178"/>
      <w:r>
        <w:rPr>
          <w:rFonts w:hint="eastAsia"/>
        </w:rPr>
        <w:t>1、住院</w:t>
      </w:r>
      <w:bookmarkEnd w:id="50"/>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城乡居民在定点医疗机构诊治发生的符合城乡居民医保基金支付范围的住院医疗费用，补偿标准如下：</w:t>
      </w:r>
    </w:p>
    <w:tbl>
      <w:tblPr>
        <w:tblStyle w:val="15"/>
        <w:tblpPr w:leftFromText="180" w:rightFromText="180" w:vertAnchor="text" w:horzAnchor="page" w:tblpXSpec="center" w:tblpY="229"/>
        <w:tblW w:w="8775" w:type="dxa"/>
        <w:tblInd w:w="0" w:type="dxa"/>
        <w:tblLayout w:type="fixed"/>
        <w:tblCellMar>
          <w:top w:w="0" w:type="dxa"/>
          <w:left w:w="108" w:type="dxa"/>
          <w:bottom w:w="0" w:type="dxa"/>
          <w:right w:w="108" w:type="dxa"/>
        </w:tblCellMar>
      </w:tblPr>
      <w:tblGrid>
        <w:gridCol w:w="1809"/>
        <w:gridCol w:w="1843"/>
        <w:gridCol w:w="5123"/>
      </w:tblGrid>
      <w:tr>
        <w:tblPrEx>
          <w:tblCellMar>
            <w:top w:w="0" w:type="dxa"/>
            <w:left w:w="108" w:type="dxa"/>
            <w:bottom w:w="0" w:type="dxa"/>
            <w:right w:w="108" w:type="dxa"/>
          </w:tblCellMar>
        </w:tblPrEx>
        <w:trPr>
          <w:trHeight w:val="320" w:hRule="atLeast"/>
        </w:trPr>
        <w:tc>
          <w:tcPr>
            <w:tcW w:w="18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机构级别</w:t>
            </w:r>
          </w:p>
        </w:tc>
        <w:tc>
          <w:tcPr>
            <w:tcW w:w="1843" w:type="dxa"/>
            <w:tcBorders>
              <w:top w:val="single" w:color="auto" w:sz="4" w:space="0"/>
              <w:left w:val="nil"/>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起付线（元）</w:t>
            </w:r>
          </w:p>
        </w:tc>
        <w:tc>
          <w:tcPr>
            <w:tcW w:w="5123" w:type="dxa"/>
            <w:tcBorders>
              <w:top w:val="single" w:color="auto" w:sz="4" w:space="0"/>
              <w:left w:val="nil"/>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补偿比例</w:t>
            </w:r>
          </w:p>
        </w:tc>
      </w:tr>
      <w:tr>
        <w:tblPrEx>
          <w:tblCellMar>
            <w:top w:w="0" w:type="dxa"/>
            <w:left w:w="108" w:type="dxa"/>
            <w:bottom w:w="0" w:type="dxa"/>
            <w:right w:w="108" w:type="dxa"/>
          </w:tblCellMar>
        </w:tblPrEx>
        <w:trPr>
          <w:trHeight w:val="320" w:hRule="atLeast"/>
        </w:trPr>
        <w:tc>
          <w:tcPr>
            <w:tcW w:w="1809" w:type="dxa"/>
            <w:tcBorders>
              <w:top w:val="nil"/>
              <w:left w:val="single" w:color="auto" w:sz="4" w:space="0"/>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乡级</w:t>
            </w:r>
          </w:p>
        </w:tc>
        <w:tc>
          <w:tcPr>
            <w:tcW w:w="184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0</w:t>
            </w:r>
          </w:p>
        </w:tc>
        <w:tc>
          <w:tcPr>
            <w:tcW w:w="512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300元以下78%，300元以上90%</w:t>
            </w:r>
          </w:p>
        </w:tc>
      </w:tr>
      <w:tr>
        <w:tblPrEx>
          <w:tblCellMar>
            <w:top w:w="0" w:type="dxa"/>
            <w:left w:w="108" w:type="dxa"/>
            <w:bottom w:w="0" w:type="dxa"/>
            <w:right w:w="108" w:type="dxa"/>
          </w:tblCellMar>
        </w:tblPrEx>
        <w:trPr>
          <w:trHeight w:val="320" w:hRule="atLeast"/>
        </w:trPr>
        <w:tc>
          <w:tcPr>
            <w:tcW w:w="1809" w:type="dxa"/>
            <w:tcBorders>
              <w:top w:val="nil"/>
              <w:left w:val="single" w:color="auto" w:sz="4" w:space="0"/>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县级</w:t>
            </w:r>
          </w:p>
        </w:tc>
        <w:tc>
          <w:tcPr>
            <w:tcW w:w="184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300</w:t>
            </w:r>
          </w:p>
        </w:tc>
        <w:tc>
          <w:tcPr>
            <w:tcW w:w="512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600元以下75%，600元以上85%</w:t>
            </w:r>
          </w:p>
        </w:tc>
      </w:tr>
      <w:tr>
        <w:tblPrEx>
          <w:tblCellMar>
            <w:top w:w="0" w:type="dxa"/>
            <w:left w:w="108" w:type="dxa"/>
            <w:bottom w:w="0" w:type="dxa"/>
            <w:right w:w="108" w:type="dxa"/>
          </w:tblCellMar>
        </w:tblPrEx>
        <w:trPr>
          <w:trHeight w:val="320" w:hRule="atLeast"/>
        </w:trPr>
        <w:tc>
          <w:tcPr>
            <w:tcW w:w="1809" w:type="dxa"/>
            <w:tcBorders>
              <w:top w:val="nil"/>
              <w:left w:val="single" w:color="auto" w:sz="4" w:space="0"/>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市级</w:t>
            </w:r>
          </w:p>
        </w:tc>
        <w:tc>
          <w:tcPr>
            <w:tcW w:w="184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800</w:t>
            </w:r>
          </w:p>
        </w:tc>
        <w:tc>
          <w:tcPr>
            <w:tcW w:w="512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63%</w:t>
            </w:r>
          </w:p>
        </w:tc>
      </w:tr>
      <w:tr>
        <w:tblPrEx>
          <w:tblCellMar>
            <w:top w:w="0" w:type="dxa"/>
            <w:left w:w="108" w:type="dxa"/>
            <w:bottom w:w="0" w:type="dxa"/>
            <w:right w:w="108" w:type="dxa"/>
          </w:tblCellMar>
        </w:tblPrEx>
        <w:trPr>
          <w:trHeight w:val="320" w:hRule="atLeast"/>
        </w:trPr>
        <w:tc>
          <w:tcPr>
            <w:tcW w:w="1809" w:type="dxa"/>
            <w:tcBorders>
              <w:top w:val="nil"/>
              <w:left w:val="single" w:color="auto" w:sz="4" w:space="0"/>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漳州市外</w:t>
            </w:r>
          </w:p>
        </w:tc>
        <w:tc>
          <w:tcPr>
            <w:tcW w:w="184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1100</w:t>
            </w:r>
          </w:p>
        </w:tc>
        <w:tc>
          <w:tcPr>
            <w:tcW w:w="5123" w:type="dxa"/>
            <w:tcBorders>
              <w:top w:val="nil"/>
              <w:left w:val="nil"/>
              <w:bottom w:val="single" w:color="auto" w:sz="4" w:space="0"/>
              <w:right w:val="single" w:color="auto" w:sz="4" w:space="0"/>
            </w:tcBorders>
            <w:vAlign w:val="center"/>
          </w:tcPr>
          <w:p>
            <w:pPr>
              <w:spacing w:line="400" w:lineRule="exact"/>
              <w:jc w:val="center"/>
              <w:textAlignment w:val="center"/>
              <w:rPr>
                <w:rFonts w:ascii="仿宋" w:hAnsi="仿宋" w:eastAsia="仿宋"/>
                <w:color w:val="000000"/>
                <w:sz w:val="32"/>
                <w:szCs w:val="32"/>
              </w:rPr>
            </w:pPr>
            <w:r>
              <w:rPr>
                <w:rFonts w:hint="eastAsia" w:ascii="仿宋" w:hAnsi="仿宋" w:eastAsia="仿宋"/>
                <w:color w:val="000000"/>
                <w:sz w:val="32"/>
                <w:szCs w:val="32"/>
              </w:rPr>
              <w:t>55%</w:t>
            </w:r>
          </w:p>
        </w:tc>
      </w:tr>
      <w:tr>
        <w:tblPrEx>
          <w:tblCellMar>
            <w:top w:w="0" w:type="dxa"/>
            <w:left w:w="108" w:type="dxa"/>
            <w:bottom w:w="0" w:type="dxa"/>
            <w:right w:w="108" w:type="dxa"/>
          </w:tblCellMar>
        </w:tblPrEx>
        <w:trPr>
          <w:trHeight w:val="320" w:hRule="atLeast"/>
        </w:trPr>
        <w:tc>
          <w:tcPr>
            <w:tcW w:w="1809" w:type="dxa"/>
            <w:tcBorders>
              <w:top w:val="nil"/>
              <w:left w:val="single" w:color="auto" w:sz="4" w:space="0"/>
              <w:bottom w:val="single" w:color="auto" w:sz="4" w:space="0"/>
              <w:right w:val="single" w:color="auto" w:sz="4" w:space="0"/>
            </w:tcBorders>
            <w:vAlign w:val="center"/>
          </w:tcPr>
          <w:p>
            <w:pPr>
              <w:spacing w:line="400" w:lineRule="exact"/>
              <w:jc w:val="center"/>
              <w:textAlignment w:val="center"/>
              <w:rPr>
                <w:rFonts w:ascii="仿宋" w:hAnsi="仿宋" w:eastAsia="仿宋"/>
                <w:b/>
                <w:color w:val="000000"/>
                <w:sz w:val="32"/>
                <w:szCs w:val="32"/>
              </w:rPr>
            </w:pPr>
            <w:r>
              <w:rPr>
                <w:rFonts w:hint="eastAsia" w:ascii="仿宋" w:hAnsi="仿宋" w:eastAsia="仿宋"/>
                <w:b/>
                <w:color w:val="000000"/>
                <w:sz w:val="32"/>
                <w:szCs w:val="32"/>
              </w:rPr>
              <w:t>说明</w:t>
            </w:r>
          </w:p>
        </w:tc>
        <w:tc>
          <w:tcPr>
            <w:tcW w:w="6966" w:type="dxa"/>
            <w:gridSpan w:val="2"/>
            <w:tcBorders>
              <w:top w:val="nil"/>
              <w:left w:val="nil"/>
              <w:bottom w:val="single" w:color="auto" w:sz="4" w:space="0"/>
              <w:right w:val="single" w:color="auto" w:sz="4" w:space="0"/>
            </w:tcBorders>
            <w:vAlign w:val="center"/>
          </w:tcPr>
          <w:p>
            <w:pPr>
              <w:spacing w:line="400" w:lineRule="exact"/>
              <w:textAlignment w:val="center"/>
              <w:rPr>
                <w:rFonts w:ascii="仿宋" w:hAnsi="仿宋" w:eastAsia="仿宋"/>
                <w:color w:val="000000"/>
                <w:sz w:val="32"/>
                <w:szCs w:val="32"/>
              </w:rPr>
            </w:pPr>
            <w:r>
              <w:rPr>
                <w:rFonts w:hint="eastAsia" w:ascii="仿宋" w:hAnsi="仿宋" w:eastAsia="仿宋"/>
                <w:color w:val="000000"/>
                <w:sz w:val="32"/>
                <w:szCs w:val="32"/>
              </w:rPr>
              <w:t>本市范围内各县（市、区）住院起付线、补偿比例均相同。</w:t>
            </w:r>
          </w:p>
        </w:tc>
      </w:tr>
    </w:tbl>
    <w:p>
      <w:pPr>
        <w:pStyle w:val="10"/>
        <w:spacing w:line="560" w:lineRule="exact"/>
      </w:pPr>
      <w:bookmarkStart w:id="51" w:name="_Toc519450179"/>
      <w:r>
        <w:rPr>
          <w:rFonts w:hint="eastAsia"/>
        </w:rPr>
        <w:t>2、门诊特殊病种</w:t>
      </w:r>
      <w:bookmarkEnd w:id="51"/>
    </w:p>
    <w:p>
      <w:pPr>
        <w:spacing w:line="560" w:lineRule="exact"/>
        <w:ind w:firstLine="480" w:firstLineChars="150"/>
        <w:rPr>
          <w:rFonts w:ascii="仿宋" w:hAnsi="仿宋" w:eastAsia="仿宋"/>
          <w:sz w:val="32"/>
          <w:szCs w:val="32"/>
        </w:rPr>
      </w:pPr>
      <w:r>
        <w:rPr>
          <w:rFonts w:hint="eastAsia" w:ascii="仿宋" w:hAnsi="仿宋" w:eastAsia="仿宋"/>
          <w:sz w:val="32"/>
          <w:szCs w:val="32"/>
        </w:rPr>
        <w:t>（1）病种名称</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共计26大病类（35个病种）：重性精神病（精神分裂症、双相情感障碍、偏执性精神障碍、分裂情感性精神障碍、癫痫所致精神障碍、严重精神发育迟滞）；恶性肿瘤(化学治疗和放射治疗);白血病</w:t>
      </w:r>
      <w:r>
        <w:rPr>
          <w:rFonts w:ascii="仿宋" w:hAnsi="仿宋" w:eastAsia="仿宋"/>
          <w:sz w:val="32"/>
          <w:szCs w:val="32"/>
        </w:rPr>
        <w:t>；</w:t>
      </w:r>
      <w:r>
        <w:rPr>
          <w:rFonts w:hint="eastAsia" w:ascii="仿宋" w:hAnsi="仿宋" w:eastAsia="仿宋"/>
          <w:sz w:val="32"/>
          <w:szCs w:val="32"/>
        </w:rPr>
        <w:t>重症尿毒症透析;器官移植抗排异反应;血友病;儿童</w:t>
      </w:r>
      <w:r>
        <w:rPr>
          <w:rFonts w:ascii="仿宋" w:hAnsi="仿宋" w:eastAsia="仿宋"/>
          <w:sz w:val="32"/>
          <w:szCs w:val="32"/>
        </w:rPr>
        <w:t>听力障碍；</w:t>
      </w:r>
      <w:r>
        <w:rPr>
          <w:rFonts w:hint="eastAsia" w:ascii="仿宋" w:hAnsi="仿宋" w:eastAsia="仿宋"/>
          <w:sz w:val="32"/>
          <w:szCs w:val="32"/>
        </w:rPr>
        <w:t>白内障</w:t>
      </w:r>
      <w:r>
        <w:rPr>
          <w:rFonts w:ascii="仿宋" w:hAnsi="仿宋" w:eastAsia="仿宋"/>
          <w:sz w:val="32"/>
          <w:szCs w:val="32"/>
        </w:rPr>
        <w:t>门诊手术治疗；</w:t>
      </w:r>
      <w:r>
        <w:rPr>
          <w:rFonts w:hint="eastAsia" w:ascii="仿宋" w:hAnsi="仿宋" w:eastAsia="仿宋"/>
          <w:sz w:val="32"/>
          <w:szCs w:val="32"/>
        </w:rPr>
        <w:t>危重病抢救；再生障碍性贫血;系统性红斑狼疮;癫痫病;高血压;糖尿病;慢性心功能不全;结核病规范治疗; 苯丙酮尿症</w:t>
      </w:r>
      <w:r>
        <w:rPr>
          <w:rFonts w:ascii="仿宋" w:hAnsi="仿宋" w:eastAsia="仿宋"/>
          <w:sz w:val="32"/>
          <w:szCs w:val="32"/>
        </w:rPr>
        <w:t>；</w:t>
      </w:r>
      <w:r>
        <w:rPr>
          <w:rFonts w:hint="eastAsia" w:ascii="仿宋" w:hAnsi="仿宋" w:eastAsia="仿宋"/>
          <w:sz w:val="32"/>
          <w:szCs w:val="32"/>
        </w:rPr>
        <w:t>慢性阻塞性肺疾病、慢性支气管炎;强直性脊柱炎;肝硬化(失代偿期);脑卒中及后遗症;帕金森氏病及综合症;重症肌无力;类风湿性关节炎；支气管哮喘；慢性病毒性肝炎（乙型、丙型活动期）；甲状腺功能亢进；慢性肾炎。</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（2）起付线和报销比例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报销起付线为300元，重性精神病不设起付线，结核病在指定定点医院诊疗不设起付线（其中属于国家对结核病患者免费提供的药品、耗材和诊疗项目，不能从医保基金重复结算）。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除恶性肿瘤(含白血病，化学治疗和放射治疗)、重症尿毒症透析、器官移植抗排异反应、重性精神病、血友病、儿童听力障碍、危重病抢救7种门诊特殊病与住院共用封顶线，其他特殊病种分别设有封顶线。</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患有两种或两种以上门诊特殊病种的，起付线不重复设置，封顶线取其中一种最高的计算（同时办理高血压、糖尿病的封顶线为5000元），不进行累加。</w:t>
      </w:r>
    </w:p>
    <w:p>
      <w:pPr>
        <w:spacing w:before="120" w:beforeLines="50" w:after="120" w:afterLines="50" w:line="560" w:lineRule="exact"/>
        <w:ind w:firstLine="616" w:firstLineChars="200"/>
        <w:rPr>
          <w:rFonts w:hint="eastAsia" w:ascii="仿宋" w:hAnsi="仿宋" w:eastAsia="仿宋"/>
          <w:spacing w:val="-6"/>
          <w:sz w:val="32"/>
          <w:szCs w:val="32"/>
        </w:rPr>
      </w:pPr>
      <w:r>
        <w:rPr>
          <w:rFonts w:hint="eastAsia" w:ascii="仿宋" w:hAnsi="仿宋" w:eastAsia="仿宋"/>
          <w:spacing w:val="-6"/>
          <w:sz w:val="32"/>
          <w:szCs w:val="32"/>
        </w:rPr>
        <w:t>具体报销</w:t>
      </w:r>
      <w:r>
        <w:rPr>
          <w:rFonts w:ascii="仿宋" w:hAnsi="仿宋" w:eastAsia="仿宋"/>
          <w:spacing w:val="-6"/>
          <w:sz w:val="32"/>
          <w:szCs w:val="32"/>
        </w:rPr>
        <w:t>比例和</w:t>
      </w:r>
      <w:r>
        <w:rPr>
          <w:rFonts w:hint="eastAsia" w:ascii="仿宋" w:hAnsi="仿宋" w:eastAsia="仿宋"/>
          <w:spacing w:val="-6"/>
          <w:sz w:val="32"/>
          <w:szCs w:val="32"/>
        </w:rPr>
        <w:t>封顶线如下：</w:t>
      </w:r>
    </w:p>
    <w:tbl>
      <w:tblPr>
        <w:tblStyle w:val="15"/>
        <w:tblW w:w="8325" w:type="dxa"/>
        <w:jc w:val="center"/>
        <w:tblLayout w:type="autofit"/>
        <w:tblCellMar>
          <w:top w:w="0" w:type="dxa"/>
          <w:left w:w="108" w:type="dxa"/>
          <w:bottom w:w="0" w:type="dxa"/>
          <w:right w:w="108" w:type="dxa"/>
        </w:tblCellMar>
      </w:tblPr>
      <w:tblGrid>
        <w:gridCol w:w="891"/>
        <w:gridCol w:w="4128"/>
        <w:gridCol w:w="1653"/>
        <w:gridCol w:w="1653"/>
      </w:tblGrid>
      <w:tr>
        <w:tblPrEx>
          <w:tblCellMar>
            <w:top w:w="0" w:type="dxa"/>
            <w:left w:w="108" w:type="dxa"/>
            <w:bottom w:w="0" w:type="dxa"/>
            <w:right w:w="108" w:type="dxa"/>
          </w:tblCellMar>
        </w:tblPrEx>
        <w:trPr>
          <w:trHeight w:val="283" w:hRule="atLeast"/>
          <w:jc w:val="center"/>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b/>
                <w:color w:val="000000"/>
                <w:sz w:val="24"/>
              </w:rPr>
            </w:pPr>
            <w:r>
              <w:rPr>
                <w:rFonts w:hint="eastAsia" w:ascii="仿宋" w:hAnsi="仿宋" w:eastAsia="仿宋"/>
                <w:b/>
                <w:color w:val="000000"/>
                <w:sz w:val="24"/>
              </w:rPr>
              <w:t>编号</w:t>
            </w:r>
          </w:p>
        </w:tc>
        <w:tc>
          <w:tcPr>
            <w:tcW w:w="4128"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color w:val="000000"/>
                <w:sz w:val="24"/>
              </w:rPr>
            </w:pPr>
            <w:r>
              <w:rPr>
                <w:rFonts w:hint="eastAsia" w:ascii="仿宋" w:hAnsi="仿宋" w:eastAsia="仿宋"/>
                <w:b/>
                <w:color w:val="000000"/>
                <w:sz w:val="24"/>
              </w:rPr>
              <w:t>病种名称</w:t>
            </w:r>
          </w:p>
        </w:tc>
        <w:tc>
          <w:tcPr>
            <w:tcW w:w="1653"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color w:val="000000"/>
                <w:sz w:val="24"/>
              </w:rPr>
            </w:pPr>
            <w:r>
              <w:rPr>
                <w:rFonts w:hint="eastAsia" w:ascii="仿宋" w:hAnsi="仿宋" w:eastAsia="仿宋"/>
                <w:b/>
                <w:color w:val="000000"/>
                <w:sz w:val="24"/>
              </w:rPr>
              <w:t>补偿比例</w:t>
            </w:r>
          </w:p>
        </w:tc>
        <w:tc>
          <w:tcPr>
            <w:tcW w:w="1653"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b/>
                <w:color w:val="000000"/>
                <w:sz w:val="24"/>
              </w:rPr>
            </w:pPr>
            <w:r>
              <w:rPr>
                <w:rFonts w:hint="eastAsia" w:ascii="仿宋" w:hAnsi="仿宋" w:eastAsia="仿宋"/>
                <w:b/>
                <w:color w:val="000000"/>
                <w:sz w:val="24"/>
              </w:rPr>
              <w:t>封顶线</w:t>
            </w:r>
          </w:p>
        </w:tc>
      </w:tr>
      <w:tr>
        <w:tblPrEx>
          <w:tblCellMar>
            <w:top w:w="0" w:type="dxa"/>
            <w:left w:w="108" w:type="dxa"/>
            <w:bottom w:w="0" w:type="dxa"/>
            <w:right w:w="108" w:type="dxa"/>
          </w:tblCellMar>
        </w:tblPrEx>
        <w:trPr>
          <w:trHeight w:val="1361"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ascii="仿宋" w:hAnsi="仿宋" w:eastAsia="仿宋"/>
                <w:color w:val="000000"/>
                <w:sz w:val="24"/>
              </w:rPr>
              <w:t>1</w:t>
            </w:r>
            <w:r>
              <w:rPr>
                <w:rFonts w:hint="eastAsia" w:ascii="仿宋" w:hAnsi="仿宋" w:eastAsia="仿宋"/>
                <w:color w:val="000000"/>
                <w:sz w:val="24"/>
              </w:rPr>
              <w:t>-6</w:t>
            </w:r>
          </w:p>
        </w:tc>
        <w:tc>
          <w:tcPr>
            <w:tcW w:w="4128" w:type="dxa"/>
            <w:tcBorders>
              <w:top w:val="nil"/>
              <w:left w:val="nil"/>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重性精神病：1.精神分裂症、2.双相情感障碍、3.偏执性精神障碍、4.分裂情感性精神障碍、5.癫痫所致精神障碍、6.严重精神发育迟滞</w:t>
            </w:r>
          </w:p>
        </w:tc>
        <w:tc>
          <w:tcPr>
            <w:tcW w:w="1653" w:type="dxa"/>
            <w:tcBorders>
              <w:top w:val="nil"/>
              <w:left w:val="nil"/>
              <w:bottom w:val="single" w:color="auto" w:sz="4" w:space="0"/>
              <w:right w:val="single" w:color="auto" w:sz="4" w:space="0"/>
            </w:tcBorders>
            <w:noWrap/>
            <w:vAlign w:val="center"/>
          </w:tcPr>
          <w:p>
            <w:pPr>
              <w:ind w:right="-74"/>
              <w:jc w:val="center"/>
              <w:rPr>
                <w:rFonts w:ascii="仿宋" w:hAnsi="仿宋" w:eastAsia="仿宋"/>
                <w:color w:val="000000"/>
                <w:sz w:val="24"/>
              </w:rPr>
            </w:pPr>
            <w:r>
              <w:rPr>
                <w:rFonts w:ascii="仿宋" w:hAnsi="仿宋" w:eastAsia="仿宋"/>
                <w:color w:val="000000"/>
                <w:sz w:val="24"/>
              </w:rPr>
              <w:t>95%</w:t>
            </w:r>
          </w:p>
        </w:tc>
        <w:tc>
          <w:tcPr>
            <w:tcW w:w="1653"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与住院共用封顶线</w:t>
            </w:r>
            <w:r>
              <w:rPr>
                <w:rFonts w:ascii="仿宋" w:hAnsi="仿宋" w:eastAsia="仿宋"/>
                <w:color w:val="000000"/>
                <w:sz w:val="24"/>
              </w:rPr>
              <w:t>10</w:t>
            </w:r>
            <w:r>
              <w:rPr>
                <w:rFonts w:hint="eastAsia" w:ascii="仿宋" w:hAnsi="仿宋" w:eastAsia="仿宋"/>
                <w:color w:val="000000"/>
                <w:sz w:val="24"/>
              </w:rPr>
              <w:t>万元</w:t>
            </w:r>
          </w:p>
        </w:tc>
      </w:tr>
      <w:tr>
        <w:tblPrEx>
          <w:tblCellMar>
            <w:top w:w="0" w:type="dxa"/>
            <w:left w:w="108" w:type="dxa"/>
            <w:bottom w:w="0" w:type="dxa"/>
            <w:right w:w="108" w:type="dxa"/>
          </w:tblCellMar>
        </w:tblPrEx>
        <w:trPr>
          <w:trHeight w:val="567"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7-8</w:t>
            </w:r>
          </w:p>
        </w:tc>
        <w:tc>
          <w:tcPr>
            <w:tcW w:w="4128" w:type="dxa"/>
            <w:tcBorders>
              <w:top w:val="nil"/>
              <w:left w:val="nil"/>
              <w:bottom w:val="single" w:color="auto" w:sz="4" w:space="0"/>
              <w:right w:val="single" w:color="auto" w:sz="4" w:space="0"/>
            </w:tcBorders>
            <w:vAlign w:val="center"/>
          </w:tcPr>
          <w:p>
            <w:pPr>
              <w:rPr>
                <w:rFonts w:ascii="仿宋" w:hAnsi="仿宋" w:eastAsia="仿宋"/>
                <w:color w:val="000000"/>
                <w:sz w:val="24"/>
              </w:rPr>
            </w:pPr>
            <w:r>
              <w:rPr>
                <w:rFonts w:hint="eastAsia" w:ascii="仿宋" w:hAnsi="仿宋" w:eastAsia="仿宋"/>
                <w:color w:val="000000"/>
                <w:sz w:val="24"/>
              </w:rPr>
              <w:t>7.恶性肿瘤（化学治疗和放射治疗</w:t>
            </w:r>
            <w:r>
              <w:rPr>
                <w:rFonts w:ascii="仿宋" w:hAnsi="仿宋" w:eastAsia="仿宋"/>
                <w:color w:val="000000"/>
                <w:sz w:val="24"/>
              </w:rPr>
              <w:t>)</w:t>
            </w:r>
            <w:r>
              <w:rPr>
                <w:rFonts w:hint="eastAsia" w:ascii="仿宋" w:hAnsi="仿宋" w:eastAsia="仿宋"/>
                <w:color w:val="000000"/>
                <w:sz w:val="24"/>
              </w:rPr>
              <w:t>、8.白血病</w:t>
            </w:r>
          </w:p>
        </w:tc>
        <w:tc>
          <w:tcPr>
            <w:tcW w:w="1653" w:type="dxa"/>
            <w:vMerge w:val="restar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ascii="仿宋" w:hAnsi="仿宋" w:eastAsia="仿宋"/>
                <w:color w:val="000000"/>
                <w:sz w:val="24"/>
              </w:rPr>
              <w:t>75%</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9</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重症尿毒症透析</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10</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器官移植抗排异治疗</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11</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血友病</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12</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儿童听力障碍</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13</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危重病抢救</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14</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再生障碍性贫血</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15000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15</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系统性红斑狼疮</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10000</w:t>
            </w:r>
          </w:p>
        </w:tc>
      </w:tr>
      <w:tr>
        <w:tblPrEx>
          <w:tblCellMar>
            <w:top w:w="0" w:type="dxa"/>
            <w:left w:w="108" w:type="dxa"/>
            <w:bottom w:w="0" w:type="dxa"/>
            <w:right w:w="108" w:type="dxa"/>
          </w:tblCellMar>
        </w:tblPrEx>
        <w:trPr>
          <w:trHeight w:val="283" w:hRule="atLeast"/>
          <w:jc w:val="center"/>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16</w:t>
            </w:r>
          </w:p>
        </w:tc>
        <w:tc>
          <w:tcPr>
            <w:tcW w:w="41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癫痫病</w:t>
            </w: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5000</w:t>
            </w:r>
          </w:p>
        </w:tc>
      </w:tr>
      <w:tr>
        <w:tblPrEx>
          <w:tblCellMar>
            <w:top w:w="0" w:type="dxa"/>
            <w:left w:w="108" w:type="dxa"/>
            <w:bottom w:w="0" w:type="dxa"/>
            <w:right w:w="108" w:type="dxa"/>
          </w:tblCellMar>
        </w:tblPrEx>
        <w:trPr>
          <w:trHeight w:val="283" w:hRule="atLeast"/>
          <w:jc w:val="center"/>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17</w:t>
            </w:r>
          </w:p>
        </w:tc>
        <w:tc>
          <w:tcPr>
            <w:tcW w:w="412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高血压</w:t>
            </w: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r>
        <w:tblPrEx>
          <w:tblCellMar>
            <w:top w:w="0" w:type="dxa"/>
            <w:left w:w="108" w:type="dxa"/>
            <w:bottom w:w="0" w:type="dxa"/>
            <w:right w:w="108" w:type="dxa"/>
          </w:tblCellMar>
        </w:tblPrEx>
        <w:trPr>
          <w:trHeight w:val="283" w:hRule="atLeast"/>
          <w:jc w:val="center"/>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18</w:t>
            </w:r>
          </w:p>
        </w:tc>
        <w:tc>
          <w:tcPr>
            <w:tcW w:w="4128"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糖尿病</w:t>
            </w: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19</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慢性心功能不全</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10000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20</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结核病辅助治疗</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21</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苯丙酮尿症</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15000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22-23</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慢性阻塞性肺疾病、慢性支气管炎</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24</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强直性脊柱炎</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6000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25</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肝硬化（失代偿期）</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15000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26</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脑卒中及后遗症</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10000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27</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帕金森氏病及综合症</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28</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重症肌无力</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8000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29</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类风湿关节炎</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4000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30</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支气管哮喘</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3000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31-33</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慢性病毒性肝炎（乙型、丙型活动期）</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34</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甲状腺功能亢进</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r>
        <w:tblPrEx>
          <w:tblCellMar>
            <w:top w:w="0" w:type="dxa"/>
            <w:left w:w="108" w:type="dxa"/>
            <w:bottom w:w="0" w:type="dxa"/>
            <w:right w:w="108" w:type="dxa"/>
          </w:tblCellMar>
        </w:tblPrEx>
        <w:trPr>
          <w:trHeight w:val="283" w:hRule="atLeast"/>
          <w:jc w:val="center"/>
        </w:trPr>
        <w:tc>
          <w:tcPr>
            <w:tcW w:w="891" w:type="dxa"/>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olor w:val="000000"/>
                <w:sz w:val="24"/>
              </w:rPr>
            </w:pPr>
            <w:r>
              <w:rPr>
                <w:rFonts w:hint="eastAsia" w:ascii="仿宋" w:hAnsi="仿宋" w:eastAsia="仿宋"/>
                <w:color w:val="000000"/>
                <w:sz w:val="24"/>
              </w:rPr>
              <w:t>35</w:t>
            </w:r>
          </w:p>
        </w:tc>
        <w:tc>
          <w:tcPr>
            <w:tcW w:w="4128"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慢性肾炎</w:t>
            </w:r>
          </w:p>
        </w:tc>
        <w:tc>
          <w:tcPr>
            <w:tcW w:w="1653"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p>
        </w:tc>
        <w:tc>
          <w:tcPr>
            <w:tcW w:w="1653" w:type="dxa"/>
            <w:tcBorders>
              <w:top w:val="nil"/>
              <w:left w:val="nil"/>
              <w:bottom w:val="single" w:color="auto" w:sz="4" w:space="0"/>
              <w:right w:val="single" w:color="auto" w:sz="4" w:space="0"/>
            </w:tcBorders>
            <w:noWrap/>
            <w:vAlign w:val="center"/>
          </w:tcPr>
          <w:p>
            <w:pPr>
              <w:jc w:val="center"/>
              <w:rPr>
                <w:rFonts w:ascii="仿宋" w:hAnsi="仿宋" w:eastAsia="仿宋"/>
                <w:color w:val="000000"/>
                <w:sz w:val="24"/>
              </w:rPr>
            </w:pPr>
            <w:r>
              <w:rPr>
                <w:rFonts w:ascii="仿宋" w:hAnsi="仿宋" w:eastAsia="仿宋"/>
                <w:color w:val="000000"/>
                <w:sz w:val="24"/>
              </w:rPr>
              <w:t>3500</w:t>
            </w:r>
          </w:p>
        </w:tc>
      </w:tr>
    </w:tbl>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（3）申报与确定</w:t>
      </w:r>
    </w:p>
    <w:p>
      <w:pPr>
        <w:spacing w:before="120" w:beforeLines="50" w:after="120" w:afterLines="50" w:line="560" w:lineRule="exact"/>
        <w:ind w:firstLine="640" w:firstLineChars="200"/>
        <w:rPr>
          <w:rFonts w:hint="eastAsia" w:ascii="仿宋" w:hAnsi="仿宋" w:eastAsia="仿宋"/>
          <w:sz w:val="32"/>
          <w:szCs w:val="32"/>
        </w:rPr>
      </w:pPr>
      <w:r>
        <w:rPr>
          <w:rFonts w:hint="eastAsia" w:ascii="仿宋" w:hAnsi="仿宋" w:eastAsia="仿宋"/>
          <w:sz w:val="32"/>
          <w:szCs w:val="32"/>
        </w:rPr>
        <w:t>患有门诊特殊病种范围疾病的参保居民，需凭二级及以上医院专科副主任及以上医师出具《门诊特殊病种申请表》，并提供诊断依据材料（出院小结、检查报告、门诊病历），报送医保经办机构确定。</w:t>
      </w:r>
    </w:p>
    <w:p>
      <w:pPr>
        <w:spacing w:before="120" w:beforeLines="50" w:after="120" w:afterLines="50" w:line="560" w:lineRule="exact"/>
        <w:ind w:firstLine="480" w:firstLineChars="150"/>
        <w:rPr>
          <w:rFonts w:hint="eastAsia" w:ascii="仿宋" w:hAnsi="仿宋" w:eastAsia="仿宋"/>
          <w:sz w:val="32"/>
          <w:szCs w:val="32"/>
        </w:rPr>
      </w:pPr>
      <w:r>
        <w:rPr>
          <w:rFonts w:hint="eastAsia" w:ascii="仿宋" w:hAnsi="仿宋" w:eastAsia="仿宋"/>
          <w:sz w:val="32"/>
          <w:szCs w:val="32"/>
        </w:rPr>
        <w:t>（4）就诊医院</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可自行选择市内两家定点医疗机构（机构等级不限）就诊特殊病种。</w:t>
      </w:r>
    </w:p>
    <w:p>
      <w:pPr>
        <w:pStyle w:val="10"/>
        <w:spacing w:line="560" w:lineRule="exact"/>
        <w:rPr>
          <w:rFonts w:hint="eastAsia" w:ascii="仿宋" w:hAnsi="仿宋" w:cs="宋体"/>
        </w:rPr>
      </w:pPr>
      <w:bookmarkStart w:id="52" w:name="_Toc519450180"/>
      <w:r>
        <w:rPr>
          <w:rFonts w:hint="eastAsia"/>
        </w:rPr>
        <w:t>3、门诊统筹</w:t>
      </w:r>
      <w:bookmarkEnd w:id="52"/>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参保人员在政府举办的基层一级公立医疗机构（含村卫生所）就诊发生的门诊医药费用，不设起付线，按照70%的比例予以补偿，单次补偿封顶50元，一个自然年度内门诊医药费最高补偿限额每人400元。</w:t>
      </w:r>
    </w:p>
    <w:p>
      <w:pPr>
        <w:pStyle w:val="10"/>
        <w:spacing w:line="560" w:lineRule="exact"/>
        <w:rPr>
          <w:rFonts w:hint="eastAsia"/>
          <w:lang w:val="zh-CN"/>
        </w:rPr>
      </w:pPr>
      <w:bookmarkStart w:id="53" w:name="_Toc519450181"/>
      <w:r>
        <w:rPr>
          <w:rFonts w:hint="eastAsia" w:cs="宋体"/>
        </w:rPr>
        <w:t>4、</w:t>
      </w:r>
      <w:r>
        <w:rPr>
          <w:rFonts w:hint="eastAsia"/>
          <w:lang w:val="zh-CN"/>
        </w:rPr>
        <w:t>城乡居民大病保险</w:t>
      </w:r>
      <w:bookmarkEnd w:id="53"/>
    </w:p>
    <w:p>
      <w:pPr>
        <w:autoSpaceDE w:val="0"/>
        <w:autoSpaceDN w:val="0"/>
        <w:spacing w:line="560" w:lineRule="exact"/>
        <w:ind w:firstLine="480" w:firstLineChars="15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（1）保障范围</w:t>
      </w:r>
    </w:p>
    <w:p>
      <w:pPr>
        <w:autoSpaceDE w:val="0"/>
        <w:autoSpaceDN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参保人员患大病发生的高额医疗费用，经城乡居民基本医保按规定支付后，个人年度累计负担的政策范围内的医疗费用超过大病保险起付标准以上的部分，由中标人按照分段累进制给予保障</w:t>
      </w:r>
      <w:r>
        <w:rPr>
          <w:rFonts w:hint="eastAsia" w:ascii="仿宋" w:hAnsi="仿宋" w:eastAsia="仿宋" w:cs="仿宋"/>
          <w:sz w:val="32"/>
          <w:szCs w:val="32"/>
        </w:rPr>
        <w:t>。</w:t>
      </w:r>
    </w:p>
    <w:p>
      <w:pPr>
        <w:autoSpaceDE w:val="0"/>
        <w:autoSpaceDN w:val="0"/>
        <w:spacing w:line="560" w:lineRule="exact"/>
        <w:ind w:firstLine="480" w:firstLineChars="150"/>
        <w:rPr>
          <w:rFonts w:hint="eastAsia" w:ascii="仿宋" w:hAnsi="仿宋" w:eastAsia="仿宋" w:cs="仿宋"/>
          <w:sz w:val="32"/>
          <w:szCs w:val="32"/>
        </w:rPr>
      </w:pPr>
      <w:r>
        <w:rPr>
          <w:rFonts w:hint="eastAsia" w:ascii="仿宋" w:hAnsi="仿宋" w:eastAsia="仿宋" w:cs="仿宋"/>
          <w:color w:val="000000"/>
          <w:sz w:val="32"/>
          <w:szCs w:val="32"/>
        </w:rPr>
        <w:t>（2）起付标准</w:t>
      </w:r>
    </w:p>
    <w:p>
      <w:pPr>
        <w:autoSpaceDE w:val="0"/>
        <w:autoSpaceDN w:val="0"/>
        <w:spacing w:line="56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lang w:val="zh-CN"/>
        </w:rPr>
        <w:t>起付标准为10000元；可根据城乡居民基本医疗保险大病保险政策及收支等情况进行动态调整。</w:t>
      </w:r>
    </w:p>
    <w:p>
      <w:pPr>
        <w:autoSpaceDE w:val="0"/>
        <w:autoSpaceDN w:val="0"/>
        <w:spacing w:line="560" w:lineRule="exact"/>
        <w:ind w:firstLine="480" w:firstLineChars="150"/>
        <w:rPr>
          <w:rFonts w:hint="eastAsia" w:ascii="仿宋" w:hAnsi="仿宋" w:eastAsia="仿宋"/>
          <w:color w:val="000000"/>
          <w:sz w:val="32"/>
          <w:szCs w:val="32"/>
        </w:rPr>
      </w:pPr>
      <w:r>
        <w:rPr>
          <w:rFonts w:hint="eastAsia" w:ascii="仿宋" w:hAnsi="仿宋" w:eastAsia="仿宋" w:cs="仿宋"/>
          <w:color w:val="000000"/>
          <w:sz w:val="32"/>
          <w:szCs w:val="32"/>
          <w:lang w:val="zh-CN"/>
        </w:rPr>
        <w:t>（3）分段支付标准和支付总额计算公式 （</w:t>
      </w:r>
      <w:r>
        <w:rPr>
          <w:rFonts w:hint="eastAsia" w:ascii="仿宋" w:hAnsi="仿宋" w:eastAsia="仿宋"/>
          <w:color w:val="000000"/>
          <w:sz w:val="32"/>
          <w:szCs w:val="32"/>
        </w:rPr>
        <w:t>单位：元）</w:t>
      </w:r>
    </w:p>
    <w:tbl>
      <w:tblPr>
        <w:tblStyle w:val="15"/>
        <w:tblpPr w:leftFromText="180" w:rightFromText="180" w:vertAnchor="text" w:horzAnchor="margin" w:tblpXSpec="center" w:tblpY="244"/>
        <w:tblW w:w="9000" w:type="dxa"/>
        <w:tblInd w:w="0" w:type="dxa"/>
        <w:tblLayout w:type="fixed"/>
        <w:tblCellMar>
          <w:top w:w="0" w:type="dxa"/>
          <w:left w:w="108" w:type="dxa"/>
          <w:bottom w:w="0" w:type="dxa"/>
          <w:right w:w="108" w:type="dxa"/>
        </w:tblCellMar>
      </w:tblPr>
      <w:tblGrid>
        <w:gridCol w:w="878"/>
        <w:gridCol w:w="2916"/>
        <w:gridCol w:w="1068"/>
        <w:gridCol w:w="4138"/>
      </w:tblGrid>
      <w:tr>
        <w:tblPrEx>
          <w:tblCellMar>
            <w:top w:w="0" w:type="dxa"/>
            <w:left w:w="108" w:type="dxa"/>
            <w:bottom w:w="0" w:type="dxa"/>
            <w:right w:w="108" w:type="dxa"/>
          </w:tblCellMar>
        </w:tblPrEx>
        <w:trPr>
          <w:trHeight w:val="1689" w:hRule="atLeast"/>
        </w:trPr>
        <w:tc>
          <w:tcPr>
            <w:tcW w:w="8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分段</w:t>
            </w:r>
          </w:p>
        </w:tc>
        <w:tc>
          <w:tcPr>
            <w:tcW w:w="2916"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个人年度累计负担的政策范围内的</w:t>
            </w:r>
          </w:p>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医疗费用（</w:t>
            </w:r>
            <w:r>
              <w:rPr>
                <w:rFonts w:ascii="仿宋" w:hAnsi="仿宋" w:eastAsia="仿宋"/>
                <w:color w:val="000000"/>
                <w:sz w:val="32"/>
                <w:szCs w:val="32"/>
              </w:rPr>
              <w:t>X</w:t>
            </w:r>
            <w:r>
              <w:rPr>
                <w:rFonts w:hint="eastAsia" w:ascii="仿宋" w:hAnsi="仿宋" w:eastAsia="仿宋"/>
                <w:color w:val="000000"/>
                <w:sz w:val="32"/>
                <w:szCs w:val="32"/>
              </w:rPr>
              <w:t>）</w:t>
            </w:r>
          </w:p>
        </w:tc>
        <w:tc>
          <w:tcPr>
            <w:tcW w:w="1068" w:type="dxa"/>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color w:val="000000"/>
                <w:sz w:val="32"/>
                <w:szCs w:val="32"/>
              </w:rPr>
            </w:pPr>
            <w:r>
              <w:rPr>
                <w:rFonts w:hint="eastAsia" w:ascii="仿宋" w:hAnsi="仿宋" w:eastAsia="仿宋"/>
                <w:color w:val="000000"/>
                <w:sz w:val="32"/>
                <w:szCs w:val="32"/>
              </w:rPr>
              <w:t>支付比</w:t>
            </w:r>
            <w:r>
              <w:rPr>
                <w:rFonts w:ascii="仿宋" w:hAnsi="仿宋" w:eastAsia="仿宋"/>
                <w:color w:val="000000"/>
                <w:sz w:val="32"/>
                <w:szCs w:val="32"/>
              </w:rPr>
              <w:t xml:space="preserve"> </w:t>
            </w:r>
            <w:r>
              <w:rPr>
                <w:rFonts w:hint="eastAsia" w:ascii="仿宋" w:hAnsi="仿宋" w:eastAsia="仿宋"/>
                <w:color w:val="000000"/>
                <w:sz w:val="32"/>
                <w:szCs w:val="32"/>
              </w:rPr>
              <w:t>例</w:t>
            </w:r>
          </w:p>
        </w:tc>
        <w:tc>
          <w:tcPr>
            <w:tcW w:w="4138" w:type="dxa"/>
            <w:tcBorders>
              <w:top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个人大病保险应支付总额</w:t>
            </w:r>
          </w:p>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计算公式（</w:t>
            </w:r>
            <w:r>
              <w:rPr>
                <w:rFonts w:ascii="仿宋" w:hAnsi="仿宋" w:eastAsia="仿宋"/>
                <w:color w:val="000000"/>
                <w:sz w:val="32"/>
                <w:szCs w:val="32"/>
              </w:rPr>
              <w:t>Z</w:t>
            </w:r>
            <w:r>
              <w:rPr>
                <w:rFonts w:hint="eastAsia" w:ascii="仿宋" w:hAnsi="仿宋" w:eastAsia="仿宋"/>
                <w:color w:val="000000"/>
                <w:sz w:val="32"/>
                <w:szCs w:val="32"/>
              </w:rPr>
              <w:t>）</w:t>
            </w:r>
          </w:p>
        </w:tc>
      </w:tr>
      <w:tr>
        <w:tblPrEx>
          <w:tblCellMar>
            <w:top w:w="0" w:type="dxa"/>
            <w:left w:w="108" w:type="dxa"/>
            <w:bottom w:w="0" w:type="dxa"/>
            <w:right w:w="108" w:type="dxa"/>
          </w:tblCellMar>
        </w:tblPrEx>
        <w:trPr>
          <w:trHeight w:val="779" w:hRule="atLeast"/>
        </w:trPr>
        <w:tc>
          <w:tcPr>
            <w:tcW w:w="878" w:type="dxa"/>
            <w:tcBorders>
              <w:top w:val="nil"/>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1</w:t>
            </w:r>
          </w:p>
        </w:tc>
        <w:tc>
          <w:tcPr>
            <w:tcW w:w="2916"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超过</w:t>
            </w:r>
            <w:r>
              <w:rPr>
                <w:rFonts w:ascii="仿宋" w:hAnsi="仿宋" w:eastAsia="仿宋"/>
                <w:color w:val="000000"/>
                <w:sz w:val="32"/>
                <w:szCs w:val="32"/>
              </w:rPr>
              <w:t>10000</w:t>
            </w:r>
            <w:r>
              <w:rPr>
                <w:rFonts w:hint="eastAsia" w:ascii="仿宋" w:hAnsi="仿宋" w:eastAsia="仿宋"/>
                <w:color w:val="000000"/>
                <w:sz w:val="32"/>
                <w:szCs w:val="32"/>
              </w:rPr>
              <w:t>至</w:t>
            </w:r>
            <w:r>
              <w:rPr>
                <w:rFonts w:ascii="仿宋" w:hAnsi="仿宋" w:eastAsia="仿宋"/>
                <w:color w:val="000000"/>
                <w:sz w:val="32"/>
                <w:szCs w:val="32"/>
              </w:rPr>
              <w:t>30000</w:t>
            </w:r>
            <w:r>
              <w:rPr>
                <w:rFonts w:hint="eastAsia" w:ascii="仿宋" w:hAnsi="仿宋" w:eastAsia="仿宋"/>
                <w:color w:val="000000"/>
                <w:sz w:val="32"/>
                <w:szCs w:val="32"/>
              </w:rPr>
              <w:t>（含</w:t>
            </w:r>
            <w:r>
              <w:rPr>
                <w:rFonts w:ascii="仿宋" w:hAnsi="仿宋" w:eastAsia="仿宋"/>
                <w:color w:val="000000"/>
                <w:sz w:val="32"/>
                <w:szCs w:val="32"/>
              </w:rPr>
              <w:t>30000</w:t>
            </w:r>
            <w:r>
              <w:rPr>
                <w:rFonts w:hint="eastAsia" w:ascii="仿宋" w:hAnsi="仿宋" w:eastAsia="仿宋"/>
                <w:color w:val="000000"/>
                <w:sz w:val="32"/>
                <w:szCs w:val="32"/>
              </w:rPr>
              <w:t>）的部分</w:t>
            </w:r>
          </w:p>
        </w:tc>
        <w:tc>
          <w:tcPr>
            <w:tcW w:w="1068"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60%</w:t>
            </w:r>
          </w:p>
        </w:tc>
        <w:tc>
          <w:tcPr>
            <w:tcW w:w="4138" w:type="dxa"/>
            <w:tcBorders>
              <w:top w:val="single" w:color="auto" w:sz="4" w:space="0"/>
              <w:bottom w:val="single" w:color="auto" w:sz="4" w:space="0"/>
              <w:right w:val="single" w:color="auto" w:sz="4" w:space="0"/>
            </w:tcBorders>
            <w:vAlign w:val="center"/>
          </w:tcPr>
          <w:p>
            <w:pPr>
              <w:spacing w:line="400" w:lineRule="exact"/>
              <w:ind w:firstLine="160" w:firstLineChars="50"/>
              <w:jc w:val="center"/>
              <w:rPr>
                <w:rFonts w:ascii="仿宋" w:hAnsi="仿宋" w:eastAsia="仿宋"/>
                <w:color w:val="000000"/>
                <w:sz w:val="32"/>
                <w:szCs w:val="32"/>
              </w:rPr>
            </w:pPr>
            <w:r>
              <w:rPr>
                <w:rFonts w:ascii="仿宋" w:hAnsi="仿宋" w:eastAsia="仿宋"/>
                <w:color w:val="000000"/>
                <w:sz w:val="32"/>
                <w:szCs w:val="32"/>
              </w:rPr>
              <w:t>Z</w:t>
            </w:r>
            <w:r>
              <w:rPr>
                <w:rFonts w:hint="eastAsia" w:ascii="仿宋" w:hAnsi="仿宋" w:eastAsia="仿宋"/>
                <w:color w:val="000000"/>
                <w:sz w:val="32"/>
                <w:szCs w:val="32"/>
              </w:rPr>
              <w:t>＝</w:t>
            </w:r>
            <w:r>
              <w:rPr>
                <w:rFonts w:ascii="仿宋" w:hAnsi="仿宋" w:eastAsia="仿宋"/>
                <w:color w:val="000000"/>
                <w:sz w:val="32"/>
                <w:szCs w:val="32"/>
              </w:rPr>
              <w:t>(X-10000)</w:t>
            </w:r>
            <w:r>
              <w:rPr>
                <w:rFonts w:hint="eastAsia" w:ascii="仿宋" w:hAnsi="仿宋" w:eastAsia="仿宋"/>
                <w:color w:val="000000"/>
                <w:sz w:val="32"/>
                <w:szCs w:val="32"/>
              </w:rPr>
              <w:t>×</w:t>
            </w:r>
            <w:r>
              <w:rPr>
                <w:rFonts w:ascii="仿宋" w:hAnsi="仿宋" w:eastAsia="仿宋"/>
                <w:color w:val="000000"/>
                <w:sz w:val="32"/>
                <w:szCs w:val="32"/>
              </w:rPr>
              <w:t>60%</w:t>
            </w:r>
          </w:p>
        </w:tc>
      </w:tr>
      <w:tr>
        <w:tblPrEx>
          <w:tblCellMar>
            <w:top w:w="0" w:type="dxa"/>
            <w:left w:w="108" w:type="dxa"/>
            <w:bottom w:w="0" w:type="dxa"/>
            <w:right w:w="108" w:type="dxa"/>
          </w:tblCellMar>
        </w:tblPrEx>
        <w:trPr>
          <w:trHeight w:val="961" w:hRule="atLeast"/>
        </w:trPr>
        <w:tc>
          <w:tcPr>
            <w:tcW w:w="878" w:type="dxa"/>
            <w:tcBorders>
              <w:top w:val="nil"/>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2</w:t>
            </w:r>
          </w:p>
        </w:tc>
        <w:tc>
          <w:tcPr>
            <w:tcW w:w="2916"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超过</w:t>
            </w:r>
            <w:r>
              <w:rPr>
                <w:rFonts w:ascii="仿宋" w:hAnsi="仿宋" w:eastAsia="仿宋"/>
                <w:color w:val="000000"/>
                <w:sz w:val="32"/>
                <w:szCs w:val="32"/>
              </w:rPr>
              <w:t>30000</w:t>
            </w:r>
            <w:r>
              <w:rPr>
                <w:rFonts w:hint="eastAsia" w:ascii="仿宋" w:hAnsi="仿宋" w:eastAsia="仿宋"/>
                <w:color w:val="000000"/>
                <w:sz w:val="32"/>
                <w:szCs w:val="32"/>
              </w:rPr>
              <w:t>至</w:t>
            </w:r>
            <w:r>
              <w:rPr>
                <w:rFonts w:ascii="仿宋" w:hAnsi="仿宋" w:eastAsia="仿宋"/>
                <w:color w:val="000000"/>
                <w:sz w:val="32"/>
                <w:szCs w:val="32"/>
              </w:rPr>
              <w:t>50000</w:t>
            </w:r>
            <w:r>
              <w:rPr>
                <w:rFonts w:hint="eastAsia" w:ascii="仿宋" w:hAnsi="仿宋" w:eastAsia="仿宋"/>
                <w:color w:val="000000"/>
                <w:sz w:val="32"/>
                <w:szCs w:val="32"/>
              </w:rPr>
              <w:t>（含</w:t>
            </w:r>
            <w:r>
              <w:rPr>
                <w:rFonts w:ascii="仿宋" w:hAnsi="仿宋" w:eastAsia="仿宋"/>
                <w:color w:val="000000"/>
                <w:sz w:val="32"/>
                <w:szCs w:val="32"/>
              </w:rPr>
              <w:t>50000</w:t>
            </w:r>
            <w:r>
              <w:rPr>
                <w:rFonts w:hint="eastAsia" w:ascii="仿宋" w:hAnsi="仿宋" w:eastAsia="仿宋"/>
                <w:color w:val="000000"/>
                <w:sz w:val="32"/>
                <w:szCs w:val="32"/>
              </w:rPr>
              <w:t>）的部分</w:t>
            </w:r>
          </w:p>
        </w:tc>
        <w:tc>
          <w:tcPr>
            <w:tcW w:w="1068"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70%</w:t>
            </w:r>
          </w:p>
        </w:tc>
        <w:tc>
          <w:tcPr>
            <w:tcW w:w="4138" w:type="dxa"/>
            <w:tcBorders>
              <w:top w:val="single" w:color="auto" w:sz="4" w:space="0"/>
              <w:bottom w:val="single" w:color="auto" w:sz="4" w:space="0"/>
              <w:right w:val="single" w:color="auto" w:sz="4" w:space="0"/>
            </w:tcBorders>
            <w:vAlign w:val="center"/>
          </w:tcPr>
          <w:p>
            <w:pPr>
              <w:spacing w:line="400" w:lineRule="exact"/>
              <w:ind w:firstLine="160" w:firstLineChars="50"/>
              <w:jc w:val="center"/>
              <w:rPr>
                <w:rFonts w:ascii="仿宋" w:hAnsi="仿宋" w:eastAsia="仿宋"/>
                <w:color w:val="000000"/>
                <w:sz w:val="32"/>
                <w:szCs w:val="32"/>
              </w:rPr>
            </w:pPr>
            <w:r>
              <w:rPr>
                <w:rFonts w:ascii="仿宋" w:hAnsi="仿宋" w:eastAsia="仿宋"/>
                <w:color w:val="000000"/>
                <w:sz w:val="32"/>
                <w:szCs w:val="32"/>
              </w:rPr>
              <w:t>Z=12000+(X-30000)</w:t>
            </w:r>
            <w:r>
              <w:rPr>
                <w:rFonts w:hint="eastAsia" w:ascii="仿宋" w:hAnsi="仿宋" w:eastAsia="仿宋"/>
                <w:color w:val="000000"/>
                <w:sz w:val="32"/>
                <w:szCs w:val="32"/>
              </w:rPr>
              <w:t>×</w:t>
            </w:r>
            <w:r>
              <w:rPr>
                <w:rFonts w:ascii="仿宋" w:hAnsi="仿宋" w:eastAsia="仿宋"/>
                <w:color w:val="000000"/>
                <w:sz w:val="32"/>
                <w:szCs w:val="32"/>
              </w:rPr>
              <w:t>70%</w:t>
            </w:r>
          </w:p>
        </w:tc>
      </w:tr>
      <w:tr>
        <w:tblPrEx>
          <w:tblCellMar>
            <w:top w:w="0" w:type="dxa"/>
            <w:left w:w="108" w:type="dxa"/>
            <w:bottom w:w="0" w:type="dxa"/>
            <w:right w:w="108" w:type="dxa"/>
          </w:tblCellMar>
        </w:tblPrEx>
        <w:trPr>
          <w:trHeight w:val="764" w:hRule="atLeast"/>
        </w:trPr>
        <w:tc>
          <w:tcPr>
            <w:tcW w:w="878" w:type="dxa"/>
            <w:tcBorders>
              <w:top w:val="nil"/>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3</w:t>
            </w:r>
          </w:p>
        </w:tc>
        <w:tc>
          <w:tcPr>
            <w:tcW w:w="2916"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超过</w:t>
            </w:r>
            <w:r>
              <w:rPr>
                <w:rFonts w:ascii="仿宋" w:hAnsi="仿宋" w:eastAsia="仿宋"/>
                <w:color w:val="000000"/>
                <w:sz w:val="32"/>
                <w:szCs w:val="32"/>
              </w:rPr>
              <w:t>50000</w:t>
            </w:r>
            <w:r>
              <w:rPr>
                <w:rFonts w:hint="eastAsia" w:ascii="仿宋" w:hAnsi="仿宋" w:eastAsia="仿宋"/>
                <w:color w:val="000000"/>
                <w:sz w:val="32"/>
                <w:szCs w:val="32"/>
              </w:rPr>
              <w:t>至</w:t>
            </w:r>
            <w:r>
              <w:rPr>
                <w:rFonts w:ascii="仿宋" w:hAnsi="仿宋" w:eastAsia="仿宋"/>
                <w:color w:val="000000"/>
                <w:sz w:val="32"/>
                <w:szCs w:val="32"/>
              </w:rPr>
              <w:t>70000</w:t>
            </w:r>
            <w:r>
              <w:rPr>
                <w:rFonts w:hint="eastAsia" w:ascii="仿宋" w:hAnsi="仿宋" w:eastAsia="仿宋"/>
                <w:color w:val="000000"/>
                <w:sz w:val="32"/>
                <w:szCs w:val="32"/>
              </w:rPr>
              <w:t>（含</w:t>
            </w:r>
            <w:r>
              <w:rPr>
                <w:rFonts w:ascii="仿宋" w:hAnsi="仿宋" w:eastAsia="仿宋"/>
                <w:color w:val="000000"/>
                <w:sz w:val="32"/>
                <w:szCs w:val="32"/>
              </w:rPr>
              <w:t>70000</w:t>
            </w:r>
            <w:r>
              <w:rPr>
                <w:rFonts w:hint="eastAsia" w:ascii="仿宋" w:hAnsi="仿宋" w:eastAsia="仿宋"/>
                <w:color w:val="000000"/>
                <w:sz w:val="32"/>
                <w:szCs w:val="32"/>
              </w:rPr>
              <w:t>）的部分</w:t>
            </w:r>
          </w:p>
        </w:tc>
        <w:tc>
          <w:tcPr>
            <w:tcW w:w="1068"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80%</w:t>
            </w:r>
          </w:p>
        </w:tc>
        <w:tc>
          <w:tcPr>
            <w:tcW w:w="4138" w:type="dxa"/>
            <w:tcBorders>
              <w:top w:val="single" w:color="auto" w:sz="4" w:space="0"/>
              <w:bottom w:val="single" w:color="auto" w:sz="4" w:space="0"/>
              <w:right w:val="single" w:color="auto" w:sz="4" w:space="0"/>
            </w:tcBorders>
            <w:vAlign w:val="center"/>
          </w:tcPr>
          <w:p>
            <w:pPr>
              <w:spacing w:line="400" w:lineRule="exact"/>
              <w:ind w:firstLine="160" w:firstLineChars="50"/>
              <w:jc w:val="center"/>
              <w:rPr>
                <w:rFonts w:ascii="仿宋" w:hAnsi="仿宋" w:eastAsia="仿宋"/>
                <w:color w:val="000000"/>
                <w:sz w:val="32"/>
                <w:szCs w:val="32"/>
              </w:rPr>
            </w:pPr>
            <w:r>
              <w:rPr>
                <w:rFonts w:ascii="仿宋" w:hAnsi="仿宋" w:eastAsia="仿宋"/>
                <w:color w:val="000000"/>
                <w:sz w:val="32"/>
                <w:szCs w:val="32"/>
              </w:rPr>
              <w:t>Z</w:t>
            </w:r>
            <w:r>
              <w:rPr>
                <w:rFonts w:hint="eastAsia" w:ascii="仿宋" w:hAnsi="仿宋" w:eastAsia="仿宋"/>
                <w:color w:val="000000"/>
                <w:sz w:val="32"/>
                <w:szCs w:val="32"/>
              </w:rPr>
              <w:t>＝</w:t>
            </w:r>
            <w:r>
              <w:rPr>
                <w:rFonts w:ascii="仿宋" w:hAnsi="仿宋" w:eastAsia="仿宋"/>
                <w:color w:val="000000"/>
                <w:sz w:val="32"/>
                <w:szCs w:val="32"/>
              </w:rPr>
              <w:t>26000+(X-50000)</w:t>
            </w:r>
            <w:r>
              <w:rPr>
                <w:rFonts w:hint="eastAsia" w:ascii="仿宋" w:hAnsi="仿宋" w:eastAsia="仿宋"/>
                <w:color w:val="000000"/>
                <w:sz w:val="32"/>
                <w:szCs w:val="32"/>
              </w:rPr>
              <w:t>×</w:t>
            </w:r>
            <w:r>
              <w:rPr>
                <w:rFonts w:ascii="仿宋" w:hAnsi="仿宋" w:eastAsia="仿宋"/>
                <w:color w:val="000000"/>
                <w:sz w:val="32"/>
                <w:szCs w:val="32"/>
              </w:rPr>
              <w:t>80%</w:t>
            </w:r>
          </w:p>
        </w:tc>
      </w:tr>
      <w:tr>
        <w:tblPrEx>
          <w:tblCellMar>
            <w:top w:w="0" w:type="dxa"/>
            <w:left w:w="108" w:type="dxa"/>
            <w:bottom w:w="0" w:type="dxa"/>
            <w:right w:w="108" w:type="dxa"/>
          </w:tblCellMar>
        </w:tblPrEx>
        <w:trPr>
          <w:trHeight w:val="677" w:hRule="atLeast"/>
        </w:trPr>
        <w:tc>
          <w:tcPr>
            <w:tcW w:w="878" w:type="dxa"/>
            <w:tcBorders>
              <w:top w:val="nil"/>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4</w:t>
            </w:r>
          </w:p>
        </w:tc>
        <w:tc>
          <w:tcPr>
            <w:tcW w:w="2916"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hint="eastAsia" w:ascii="仿宋" w:hAnsi="仿宋" w:eastAsia="仿宋"/>
                <w:color w:val="000000"/>
                <w:sz w:val="32"/>
                <w:szCs w:val="32"/>
              </w:rPr>
              <w:t>超过</w:t>
            </w:r>
            <w:r>
              <w:rPr>
                <w:rFonts w:ascii="仿宋" w:hAnsi="仿宋" w:eastAsia="仿宋"/>
                <w:color w:val="000000"/>
                <w:sz w:val="32"/>
                <w:szCs w:val="32"/>
              </w:rPr>
              <w:t>70000</w:t>
            </w:r>
            <w:r>
              <w:rPr>
                <w:rFonts w:hint="eastAsia" w:ascii="仿宋" w:hAnsi="仿宋" w:eastAsia="仿宋"/>
                <w:color w:val="000000"/>
                <w:sz w:val="32"/>
                <w:szCs w:val="32"/>
              </w:rPr>
              <w:t>的部分</w:t>
            </w:r>
          </w:p>
        </w:tc>
        <w:tc>
          <w:tcPr>
            <w:tcW w:w="1068" w:type="dxa"/>
            <w:tcBorders>
              <w:top w:val="nil"/>
              <w:left w:val="nil"/>
              <w:bottom w:val="single" w:color="auto" w:sz="4" w:space="0"/>
              <w:right w:val="single" w:color="auto" w:sz="4" w:space="0"/>
            </w:tcBorders>
            <w:vAlign w:val="center"/>
          </w:tcPr>
          <w:p>
            <w:pPr>
              <w:spacing w:line="400" w:lineRule="exact"/>
              <w:jc w:val="center"/>
              <w:rPr>
                <w:rFonts w:ascii="仿宋" w:hAnsi="仿宋" w:eastAsia="仿宋"/>
                <w:color w:val="000000"/>
                <w:sz w:val="32"/>
                <w:szCs w:val="32"/>
              </w:rPr>
            </w:pPr>
            <w:r>
              <w:rPr>
                <w:rFonts w:ascii="仿宋" w:hAnsi="仿宋" w:eastAsia="仿宋"/>
                <w:color w:val="000000"/>
                <w:sz w:val="32"/>
                <w:szCs w:val="32"/>
              </w:rPr>
              <w:t>90%</w:t>
            </w:r>
          </w:p>
        </w:tc>
        <w:tc>
          <w:tcPr>
            <w:tcW w:w="4138" w:type="dxa"/>
            <w:tcBorders>
              <w:top w:val="single" w:color="auto" w:sz="4" w:space="0"/>
              <w:bottom w:val="single" w:color="auto" w:sz="4" w:space="0"/>
              <w:right w:val="single" w:color="auto" w:sz="4" w:space="0"/>
            </w:tcBorders>
            <w:vAlign w:val="center"/>
          </w:tcPr>
          <w:p>
            <w:pPr>
              <w:spacing w:line="400" w:lineRule="exact"/>
              <w:ind w:firstLine="160" w:firstLineChars="50"/>
              <w:jc w:val="center"/>
              <w:rPr>
                <w:rFonts w:ascii="仿宋" w:hAnsi="仿宋" w:eastAsia="仿宋"/>
                <w:color w:val="000000"/>
                <w:sz w:val="32"/>
                <w:szCs w:val="32"/>
              </w:rPr>
            </w:pPr>
            <w:r>
              <w:rPr>
                <w:rFonts w:ascii="仿宋" w:hAnsi="仿宋" w:eastAsia="仿宋"/>
                <w:color w:val="000000"/>
                <w:sz w:val="32"/>
                <w:szCs w:val="32"/>
              </w:rPr>
              <w:t>Z</w:t>
            </w:r>
            <w:r>
              <w:rPr>
                <w:rFonts w:hint="eastAsia" w:ascii="仿宋" w:hAnsi="仿宋" w:eastAsia="仿宋"/>
                <w:color w:val="000000"/>
                <w:sz w:val="32"/>
                <w:szCs w:val="32"/>
              </w:rPr>
              <w:t>＝</w:t>
            </w:r>
            <w:r>
              <w:rPr>
                <w:rFonts w:ascii="仿宋" w:hAnsi="仿宋" w:eastAsia="仿宋"/>
                <w:color w:val="000000"/>
                <w:sz w:val="32"/>
                <w:szCs w:val="32"/>
              </w:rPr>
              <w:t>42000+(X-70000)</w:t>
            </w:r>
            <w:r>
              <w:rPr>
                <w:rFonts w:hint="eastAsia" w:ascii="仿宋" w:hAnsi="仿宋" w:eastAsia="仿宋"/>
                <w:color w:val="000000"/>
                <w:sz w:val="32"/>
                <w:szCs w:val="32"/>
              </w:rPr>
              <w:t>×</w:t>
            </w:r>
            <w:r>
              <w:rPr>
                <w:rFonts w:ascii="仿宋" w:hAnsi="仿宋" w:eastAsia="仿宋"/>
                <w:color w:val="000000"/>
                <w:sz w:val="32"/>
                <w:szCs w:val="32"/>
              </w:rPr>
              <w:t>90%</w:t>
            </w:r>
          </w:p>
        </w:tc>
      </w:tr>
    </w:tbl>
    <w:p>
      <w:pPr>
        <w:autoSpaceDE w:val="0"/>
        <w:autoSpaceDN w:val="0"/>
        <w:spacing w:line="560" w:lineRule="exact"/>
        <w:ind w:firstLine="640" w:firstLineChars="200"/>
        <w:rPr>
          <w:rFonts w:ascii="仿宋" w:hAnsi="仿宋" w:eastAsia="仿宋" w:cs="仿宋"/>
          <w:color w:val="000000"/>
          <w:sz w:val="32"/>
          <w:szCs w:val="32"/>
          <w:lang w:val="zh-CN"/>
        </w:rPr>
      </w:pPr>
      <w:r>
        <w:rPr>
          <w:rFonts w:hint="eastAsia" w:ascii="仿宋" w:hAnsi="仿宋" w:eastAsia="仿宋" w:cs="仿宋"/>
          <w:color w:val="000000"/>
          <w:sz w:val="32"/>
          <w:szCs w:val="32"/>
          <w:lang w:val="zh-CN"/>
        </w:rPr>
        <w:t>个人年度大病保险累计最高支付30万元。支付标准和支付总额计算公式根据当年度城乡居民基本医疗保险政策、大病保险政策（起付线标准、保险费标准等）进行动态调整。</w:t>
      </w:r>
    </w:p>
    <w:p>
      <w:pPr>
        <w:spacing w:before="120" w:beforeLines="50" w:after="120" w:afterLines="50" w:line="560" w:lineRule="exact"/>
        <w:ind w:firstLine="640" w:firstLineChars="200"/>
        <w:rPr>
          <w:rFonts w:ascii="仿宋" w:hAnsi="仿宋" w:eastAsia="仿宋"/>
          <w:sz w:val="32"/>
          <w:szCs w:val="32"/>
        </w:rPr>
      </w:pPr>
    </w:p>
    <w:p>
      <w:pPr>
        <w:spacing w:before="120" w:beforeLines="50" w:after="120" w:afterLines="50" w:line="560" w:lineRule="exact"/>
        <w:ind w:firstLine="560" w:firstLineChars="200"/>
        <w:rPr>
          <w:rFonts w:hint="eastAsia" w:ascii="楷体" w:hAnsi="楷体" w:eastAsia="楷体"/>
          <w:sz w:val="28"/>
          <w:szCs w:val="28"/>
        </w:rPr>
      </w:pPr>
      <w:r>
        <w:rPr>
          <w:rFonts w:hint="eastAsia" w:ascii="黑体" w:hAnsi="黑体" w:eastAsia="黑体"/>
          <w:sz w:val="28"/>
          <w:szCs w:val="28"/>
        </w:rPr>
        <w:t>参考文件</w:t>
      </w:r>
      <w:r>
        <w:rPr>
          <w:rFonts w:ascii="黑体" w:hAnsi="黑体" w:eastAsia="黑体"/>
          <w:sz w:val="28"/>
          <w:szCs w:val="28"/>
        </w:rPr>
        <w:t>：</w:t>
      </w:r>
      <w:r>
        <w:rPr>
          <w:rFonts w:hint="eastAsia" w:ascii="楷体" w:hAnsi="楷体" w:eastAsia="楷体"/>
          <w:sz w:val="28"/>
          <w:szCs w:val="28"/>
        </w:rPr>
        <w:t>漳政办〔2017〕201号、漳政综〔2018〕100号</w:t>
      </w:r>
    </w:p>
    <w:p>
      <w:pPr>
        <w:spacing w:line="560" w:lineRule="exact"/>
        <w:ind w:firstLine="643" w:firstLineChars="200"/>
        <w:rPr>
          <w:rFonts w:hint="eastAsia" w:ascii="仿宋" w:hAnsi="仿宋" w:eastAsia="仿宋"/>
          <w:b/>
          <w:bCs/>
          <w:sz w:val="32"/>
          <w:szCs w:val="32"/>
        </w:rPr>
      </w:pPr>
    </w:p>
    <w:p>
      <w:pPr>
        <w:pStyle w:val="2"/>
        <w:spacing w:line="560" w:lineRule="exact"/>
      </w:pPr>
      <w:bookmarkStart w:id="54" w:name="_Toc519450182"/>
      <w:r>
        <w:rPr>
          <w:rFonts w:hint="eastAsia"/>
        </w:rPr>
        <w:t>（五）城乡医疗救助</w:t>
      </w:r>
      <w:bookmarkEnd w:id="54"/>
      <w:r>
        <w:rPr>
          <w:rFonts w:hint="eastAsia"/>
        </w:rPr>
        <w:t xml:space="preserve">   </w:t>
      </w:r>
    </w:p>
    <w:p>
      <w:pPr>
        <w:pStyle w:val="10"/>
        <w:spacing w:line="560" w:lineRule="exact"/>
      </w:pPr>
      <w:bookmarkStart w:id="55" w:name="_Toc519450183"/>
      <w:r>
        <w:rPr>
          <w:rFonts w:hint="eastAsia"/>
        </w:rPr>
        <w:t>1、特殊门诊救助</w:t>
      </w:r>
      <w:bookmarkEnd w:id="55"/>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第一类救助对象特殊门诊救助比例为基本医疗保险，大病保险报销后个人负担的合规医疗费用的90%，第二类救助对象特殊门诊救助比例为基本医疗保险报销后个人负担的合规医疗费用的60%，每人每年原则上最高救助限额为10000元。</w:t>
      </w:r>
    </w:p>
    <w:p>
      <w:pPr>
        <w:pStyle w:val="10"/>
        <w:spacing w:line="560" w:lineRule="exact"/>
      </w:pPr>
      <w:bookmarkStart w:id="56" w:name="_Toc519450184"/>
      <w:r>
        <w:rPr>
          <w:rFonts w:hint="eastAsia"/>
        </w:rPr>
        <w:t>2、住院救助</w:t>
      </w:r>
      <w:bookmarkEnd w:id="56"/>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第一、二类救助对象在医保定点医疗机构发生的政策范围住院费用中，对经基本医疗保险、城乡居民大病保险报销后个人负担的政策范围内医疗费用，第一类救助对象按100%、第二类救助对象按70%的比例给予救助，每人每年原则上最高限额为20000元。</w:t>
      </w:r>
    </w:p>
    <w:p>
      <w:pPr>
        <w:pStyle w:val="10"/>
        <w:spacing w:line="560" w:lineRule="exact"/>
      </w:pPr>
      <w:bookmarkStart w:id="57" w:name="_Toc519450185"/>
      <w:r>
        <w:rPr>
          <w:rFonts w:hint="eastAsia"/>
        </w:rPr>
        <w:t>3、一次性定额救助</w:t>
      </w:r>
      <w:bookmarkEnd w:id="57"/>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对第三类救助对象开展一次性定额救助。经低收入家庭审核认定、公示后，报市医保局审批，并给予一次性救助。在个人负担的医疗费用合规的前提下，一年一次性定额救助标准：个人自付1万元以上至2万元以下的，给予一次性定额救助0.1万元；个人自付2万元以上至5万元以下的，给予一次性定额救助0.3万元；个人自付5万元以上的，给予一次性定额救助0.5万元。</w:t>
      </w:r>
    </w:p>
    <w:p>
      <w:pPr>
        <w:pStyle w:val="10"/>
        <w:spacing w:line="560" w:lineRule="exact"/>
      </w:pPr>
      <w:bookmarkStart w:id="58" w:name="_Toc519450186"/>
      <w:r>
        <w:rPr>
          <w:rFonts w:hint="eastAsia"/>
        </w:rPr>
        <w:t>4、重特大疾病救助</w:t>
      </w:r>
      <w:bookmarkEnd w:id="58"/>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（1）救助的病种：恶性肿瘤、尿毒症、器官移植抗排异反应、重性精神病、白血病、再生障碍性贫血，血友病7大种病种纳入重特大疾病医疗救助。</w:t>
      </w:r>
    </w:p>
    <w:p>
      <w:pPr>
        <w:spacing w:before="120" w:beforeLines="50" w:after="120" w:afterLines="50" w:line="560" w:lineRule="exact"/>
        <w:ind w:firstLine="480" w:firstLineChars="150"/>
        <w:rPr>
          <w:rFonts w:ascii="仿宋" w:hAnsi="仿宋" w:eastAsia="仿宋"/>
          <w:sz w:val="32"/>
          <w:szCs w:val="32"/>
        </w:rPr>
      </w:pPr>
      <w:r>
        <w:rPr>
          <w:rFonts w:hint="eastAsia" w:ascii="仿宋" w:hAnsi="仿宋" w:eastAsia="仿宋"/>
          <w:sz w:val="32"/>
          <w:szCs w:val="32"/>
        </w:rPr>
        <w:t>（2）救助标准</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第一档：个人负担的医疗费在2万元至5万元之间部分，按10%给予医疗救助。</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第二档：个人负担的医疗费在5万元以上至8万元之间部分，按15%给予医疗救助。</w:t>
      </w:r>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第三档：个人负担的医疗费8万元以上部分，按20%给予医疗补助。</w:t>
      </w:r>
    </w:p>
    <w:p>
      <w:pPr>
        <w:spacing w:before="120" w:beforeLines="50" w:after="120" w:afterLines="50" w:line="560" w:lineRule="exact"/>
        <w:ind w:firstLine="640" w:firstLineChars="200"/>
        <w:rPr>
          <w:rFonts w:ascii="仿宋" w:hAnsi="仿宋" w:eastAsia="仿宋"/>
          <w:sz w:val="32"/>
          <w:szCs w:val="32"/>
        </w:rPr>
      </w:pPr>
    </w:p>
    <w:p>
      <w:pPr>
        <w:spacing w:before="120" w:beforeLines="50" w:after="120" w:afterLines="50" w:line="560" w:lineRule="exact"/>
        <w:ind w:firstLine="560" w:firstLineChars="200"/>
        <w:rPr>
          <w:rFonts w:ascii="仿宋" w:hAnsi="仿宋" w:eastAsia="仿宋"/>
          <w:sz w:val="28"/>
          <w:szCs w:val="28"/>
        </w:rPr>
      </w:pPr>
      <w:r>
        <w:rPr>
          <w:rFonts w:hint="eastAsia" w:ascii="黑体" w:hAnsi="黑体" w:eastAsia="黑体"/>
          <w:sz w:val="28"/>
          <w:szCs w:val="28"/>
        </w:rPr>
        <w:t>参考文件</w:t>
      </w:r>
      <w:r>
        <w:rPr>
          <w:rFonts w:ascii="黑体" w:hAnsi="黑体" w:eastAsia="黑体"/>
          <w:sz w:val="28"/>
          <w:szCs w:val="28"/>
        </w:rPr>
        <w:t>：</w:t>
      </w:r>
      <w:r>
        <w:rPr>
          <w:rFonts w:hint="eastAsia" w:ascii="楷体" w:hAnsi="楷体" w:eastAsia="楷体"/>
          <w:sz w:val="28"/>
          <w:szCs w:val="28"/>
        </w:rPr>
        <w:t>漳政办〔2017〕201号</w:t>
      </w:r>
    </w:p>
    <w:p>
      <w:pPr>
        <w:spacing w:before="120" w:beforeLines="50" w:after="120" w:afterLines="50" w:line="560" w:lineRule="exact"/>
        <w:ind w:firstLine="643" w:firstLineChars="200"/>
        <w:rPr>
          <w:rFonts w:hint="eastAsia" w:ascii="仿宋" w:hAnsi="仿宋" w:eastAsia="仿宋"/>
          <w:b/>
          <w:sz w:val="32"/>
          <w:szCs w:val="32"/>
        </w:rPr>
      </w:pPr>
    </w:p>
    <w:p>
      <w:pPr>
        <w:pStyle w:val="2"/>
        <w:spacing w:line="560" w:lineRule="exact"/>
      </w:pPr>
      <w:bookmarkStart w:id="59" w:name="_Toc519450187"/>
      <w:r>
        <w:rPr>
          <w:rFonts w:hint="eastAsia"/>
        </w:rPr>
        <w:t>（六）精准扶贫医疗叠加保险</w:t>
      </w:r>
      <w:bookmarkEnd w:id="59"/>
    </w:p>
    <w:p>
      <w:pPr>
        <w:pStyle w:val="10"/>
        <w:spacing w:line="560" w:lineRule="exact"/>
      </w:pPr>
      <w:bookmarkStart w:id="60" w:name="_Toc519450188"/>
      <w:r>
        <w:rPr>
          <w:rFonts w:hint="eastAsia"/>
        </w:rPr>
        <w:t>1、“第一道”补助</w:t>
      </w:r>
      <w:bookmarkEnd w:id="60"/>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保障对象在省、市、县、乡四级定点医疗机构发生的属于基本医疗保险支付范围的门诊特殊病种和住院医疗费用，在基本医疗保险、大病保险和医疗救助的基础上，由精准扶贫医疗叠加保险采取双上限控制的方法对范围内医疗费用予以补助，一是按省、市、县、乡四级定点医疗机构分别不超过7%、11%、14%、15%的比例叠加报销，二是叠加后报销比例的上限省、市、县、乡四级定点医疗机构分别为50%、70%、90%、95%。</w:t>
      </w:r>
    </w:p>
    <w:p>
      <w:pPr>
        <w:pStyle w:val="10"/>
        <w:spacing w:line="560" w:lineRule="exact"/>
      </w:pPr>
      <w:bookmarkStart w:id="61" w:name="_Toc519450189"/>
      <w:r>
        <w:rPr>
          <w:rFonts w:hint="eastAsia"/>
        </w:rPr>
        <w:t>2、“第二道”救助</w:t>
      </w:r>
      <w:bookmarkEnd w:id="61"/>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对保障对象中，患儿童急性淋巴细胞白血病、儿童急性早幼粒细胞白血病、儿童先天性心脏病房间隔缺损、儿童先天性心脏病室间隔缺损、儿童先天性动脉导管未闭、儿童先天性肺动脉瓣狭窄、食管癌、胃癌、结肠癌、直肠癌、终末期肾病、乳腺癌、宫颈癌等13种疾病的患者，进行集中救治。集中救治患者的医疗费用，经基本医疗保险、大病保险、医疗救助和“第一道”精准扶贫医疗叠加保险补偿后，医疗费用个人负担部分，再由精准扶贫医疗叠加保险予以补助90%。</w:t>
      </w:r>
    </w:p>
    <w:p>
      <w:pPr>
        <w:pStyle w:val="10"/>
        <w:spacing w:line="560" w:lineRule="exact"/>
      </w:pPr>
      <w:r>
        <w:rPr>
          <w:rFonts w:hint="eastAsia"/>
        </w:rPr>
        <w:t xml:space="preserve"> </w:t>
      </w:r>
      <w:bookmarkStart w:id="62" w:name="_Toc519450190"/>
      <w:r>
        <w:rPr>
          <w:rFonts w:hint="eastAsia"/>
        </w:rPr>
        <w:t>3、家庭医生签约个人缴费</w:t>
      </w:r>
      <w:bookmarkEnd w:id="62"/>
    </w:p>
    <w:p>
      <w:pPr>
        <w:spacing w:before="120" w:beforeLines="50" w:after="120" w:afterLines="50" w:line="560" w:lineRule="exact"/>
        <w:ind w:firstLine="645"/>
        <w:rPr>
          <w:rFonts w:ascii="仿宋" w:hAnsi="仿宋" w:eastAsia="仿宋"/>
          <w:sz w:val="32"/>
          <w:szCs w:val="32"/>
        </w:rPr>
      </w:pPr>
      <w:r>
        <w:rPr>
          <w:rFonts w:hint="eastAsia" w:ascii="仿宋" w:hAnsi="仿宋" w:eastAsia="仿宋"/>
          <w:sz w:val="32"/>
          <w:szCs w:val="32"/>
        </w:rPr>
        <w:t>保障对象家庭医生签约服务费个人缴费部分，由精准扶贫医疗叠加保险基金承担。</w:t>
      </w:r>
    </w:p>
    <w:p>
      <w:pPr>
        <w:spacing w:line="560" w:lineRule="exact"/>
        <w:ind w:firstLine="640" w:firstLineChars="200"/>
        <w:rPr>
          <w:rFonts w:ascii="仿宋" w:hAnsi="仿宋" w:eastAsia="仿宋"/>
          <w:sz w:val="32"/>
          <w:szCs w:val="32"/>
        </w:rPr>
      </w:pPr>
    </w:p>
    <w:p>
      <w:pPr>
        <w:spacing w:line="560" w:lineRule="exact"/>
        <w:ind w:firstLine="560" w:firstLineChars="200"/>
        <w:rPr>
          <w:rFonts w:ascii="仿宋" w:hAnsi="仿宋" w:eastAsia="仿宋"/>
          <w:sz w:val="28"/>
          <w:szCs w:val="28"/>
        </w:rPr>
      </w:pPr>
      <w:r>
        <w:rPr>
          <w:rFonts w:hint="eastAsia" w:ascii="黑体" w:hAnsi="黑体" w:eastAsia="黑体"/>
          <w:sz w:val="28"/>
          <w:szCs w:val="28"/>
        </w:rPr>
        <w:t>参考文件</w:t>
      </w:r>
      <w:r>
        <w:rPr>
          <w:rFonts w:ascii="黑体" w:hAnsi="黑体" w:eastAsia="黑体"/>
          <w:sz w:val="28"/>
          <w:szCs w:val="28"/>
        </w:rPr>
        <w:t>：</w:t>
      </w:r>
      <w:r>
        <w:rPr>
          <w:rFonts w:hint="eastAsia" w:ascii="楷体" w:hAnsi="楷体" w:eastAsia="楷体"/>
          <w:sz w:val="28"/>
          <w:szCs w:val="28"/>
        </w:rPr>
        <w:t>漳医保〔2017〕50号</w:t>
      </w:r>
    </w:p>
    <w:p>
      <w:pPr>
        <w:spacing w:line="560" w:lineRule="exact"/>
        <w:ind w:firstLine="640" w:firstLineChars="200"/>
        <w:rPr>
          <w:rFonts w:hint="eastAsia" w:ascii="仿宋" w:hAnsi="仿宋" w:eastAsia="仿宋"/>
          <w:sz w:val="32"/>
          <w:szCs w:val="32"/>
        </w:rPr>
      </w:pPr>
    </w:p>
    <w:p>
      <w:pPr>
        <w:pStyle w:val="2"/>
        <w:spacing w:line="560" w:lineRule="exact"/>
      </w:pPr>
      <w:bookmarkStart w:id="63" w:name="_Toc519450191"/>
      <w:r>
        <w:rPr>
          <w:rFonts w:hint="eastAsia"/>
        </w:rPr>
        <w:t>（七）实行备案登记的药品目录</w:t>
      </w:r>
      <w:bookmarkEnd w:id="63"/>
    </w:p>
    <w:p>
      <w:pPr>
        <w:spacing w:before="120" w:beforeLines="50" w:after="120" w:afterLines="50" w:line="560" w:lineRule="exact"/>
        <w:ind w:firstLine="640" w:firstLineChars="200"/>
        <w:rPr>
          <w:rFonts w:ascii="仿宋" w:hAnsi="仿宋" w:eastAsia="仿宋"/>
          <w:sz w:val="32"/>
          <w:szCs w:val="32"/>
        </w:rPr>
      </w:pPr>
      <w:r>
        <w:rPr>
          <w:rFonts w:hint="eastAsia" w:ascii="仿宋" w:hAnsi="仿宋" w:eastAsia="仿宋"/>
          <w:sz w:val="32"/>
          <w:szCs w:val="32"/>
        </w:rPr>
        <w:t>对部分价格昂贵，但对治疗重大（罕见）疾病临床必须、疗效确切的门诊特殊用药实行备案登记制度，即：参保患者用药需向当地医保经办机构提出申请备案登记，方</w:t>
      </w:r>
      <w:r>
        <w:rPr>
          <w:rFonts w:ascii="仿宋" w:hAnsi="仿宋" w:eastAsia="仿宋"/>
          <w:sz w:val="32"/>
          <w:szCs w:val="32"/>
        </w:rPr>
        <w:t>能纳入</w:t>
      </w:r>
      <w:r>
        <w:rPr>
          <w:rFonts w:hint="eastAsia" w:ascii="仿宋" w:hAnsi="仿宋" w:eastAsia="仿宋"/>
          <w:sz w:val="32"/>
          <w:szCs w:val="32"/>
        </w:rPr>
        <w:t>医</w:t>
      </w:r>
      <w:r>
        <w:rPr>
          <w:rFonts w:ascii="仿宋" w:hAnsi="仿宋" w:eastAsia="仿宋"/>
          <w:sz w:val="32"/>
          <w:szCs w:val="32"/>
        </w:rPr>
        <w:t>保</w:t>
      </w:r>
      <w:r>
        <w:rPr>
          <w:rFonts w:hint="eastAsia" w:ascii="仿宋" w:hAnsi="仿宋" w:eastAsia="仿宋"/>
          <w:sz w:val="32"/>
          <w:szCs w:val="32"/>
        </w:rPr>
        <w:t>支付</w:t>
      </w:r>
      <w:r>
        <w:rPr>
          <w:rFonts w:ascii="仿宋" w:hAnsi="仿宋" w:eastAsia="仿宋"/>
          <w:sz w:val="32"/>
          <w:szCs w:val="32"/>
        </w:rPr>
        <w:t>范围</w:t>
      </w:r>
      <w:r>
        <w:rPr>
          <w:rFonts w:hint="eastAsia" w:ascii="仿宋" w:hAnsi="仿宋" w:eastAsia="仿宋"/>
          <w:sz w:val="32"/>
          <w:szCs w:val="32"/>
        </w:rPr>
        <w:t>。备案登记按照</w:t>
      </w:r>
      <w:r>
        <w:rPr>
          <w:rFonts w:ascii="仿宋" w:hAnsi="仿宋" w:eastAsia="仿宋"/>
          <w:sz w:val="32"/>
          <w:szCs w:val="32"/>
        </w:rPr>
        <w:t>闽医</w:t>
      </w:r>
      <w:r>
        <w:rPr>
          <w:rFonts w:hint="eastAsia" w:ascii="仿宋" w:hAnsi="仿宋" w:eastAsia="仿宋"/>
          <w:sz w:val="32"/>
          <w:szCs w:val="32"/>
        </w:rPr>
        <w:t>管</w:t>
      </w:r>
      <w:r>
        <w:rPr>
          <w:rFonts w:ascii="仿宋" w:hAnsi="仿宋" w:eastAsia="仿宋"/>
          <w:sz w:val="32"/>
          <w:szCs w:val="32"/>
        </w:rPr>
        <w:t>发</w:t>
      </w:r>
      <w:r>
        <w:rPr>
          <w:rFonts w:hint="eastAsia" w:ascii="仿宋" w:hAnsi="仿宋" w:eastAsia="仿宋"/>
          <w:sz w:val="32"/>
          <w:szCs w:val="32"/>
        </w:rPr>
        <w:t>〔2017〕</w:t>
      </w:r>
      <w:r>
        <w:rPr>
          <w:rFonts w:ascii="仿宋" w:hAnsi="仿宋" w:eastAsia="仿宋"/>
          <w:sz w:val="32"/>
          <w:szCs w:val="32"/>
        </w:rPr>
        <w:t>162</w:t>
      </w:r>
      <w:r>
        <w:rPr>
          <w:rFonts w:hint="eastAsia" w:ascii="仿宋" w:hAnsi="仿宋" w:eastAsia="仿宋"/>
          <w:sz w:val="32"/>
          <w:szCs w:val="32"/>
        </w:rPr>
        <w:t>号文规定执行，具体</w:t>
      </w:r>
      <w:r>
        <w:rPr>
          <w:rFonts w:ascii="仿宋" w:hAnsi="仿宋" w:eastAsia="仿宋"/>
          <w:sz w:val="32"/>
          <w:szCs w:val="32"/>
        </w:rPr>
        <w:t>药品</w:t>
      </w:r>
      <w:r>
        <w:rPr>
          <w:rFonts w:hint="eastAsia" w:ascii="仿宋" w:hAnsi="仿宋" w:eastAsia="仿宋"/>
          <w:sz w:val="32"/>
          <w:szCs w:val="32"/>
        </w:rPr>
        <w:t>（第一</w:t>
      </w:r>
      <w:r>
        <w:rPr>
          <w:rFonts w:ascii="仿宋" w:hAnsi="仿宋" w:eastAsia="仿宋"/>
          <w:sz w:val="32"/>
          <w:szCs w:val="32"/>
        </w:rPr>
        <w:t>批和第二批</w:t>
      </w:r>
      <w:r>
        <w:rPr>
          <w:rFonts w:hint="eastAsia" w:ascii="仿宋" w:hAnsi="仿宋" w:eastAsia="仿宋"/>
          <w:sz w:val="32"/>
          <w:szCs w:val="32"/>
        </w:rPr>
        <w:t>）目录如下：</w:t>
      </w:r>
    </w:p>
    <w:tbl>
      <w:tblPr>
        <w:tblStyle w:val="15"/>
        <w:tblW w:w="8520" w:type="dxa"/>
        <w:tblInd w:w="0" w:type="dxa"/>
        <w:tblLayout w:type="fixed"/>
        <w:tblCellMar>
          <w:top w:w="15" w:type="dxa"/>
          <w:left w:w="15" w:type="dxa"/>
          <w:bottom w:w="15" w:type="dxa"/>
          <w:right w:w="15" w:type="dxa"/>
        </w:tblCellMar>
      </w:tblPr>
      <w:tblGrid>
        <w:gridCol w:w="405"/>
        <w:gridCol w:w="1028"/>
        <w:gridCol w:w="992"/>
        <w:gridCol w:w="1134"/>
        <w:gridCol w:w="1559"/>
        <w:gridCol w:w="3402"/>
      </w:tblGrid>
      <w:tr>
        <w:tblPrEx>
          <w:tblCellMar>
            <w:top w:w="15" w:type="dxa"/>
            <w:left w:w="15" w:type="dxa"/>
            <w:bottom w:w="15" w:type="dxa"/>
            <w:right w:w="15" w:type="dxa"/>
          </w:tblCellMar>
        </w:tblPrEx>
        <w:trPr>
          <w:trHeight w:val="697"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ottom"/>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序号</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ottom"/>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lang w:bidi="ar"/>
              </w:rPr>
              <w:t>商品名称</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ottom"/>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lang w:bidi="ar"/>
              </w:rPr>
              <w:t>药品名称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ottom"/>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lang w:bidi="ar"/>
              </w:rPr>
              <w:t>剂型</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ottom"/>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lang w:bidi="ar"/>
              </w:rPr>
              <w:t>规格</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bottom"/>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lang w:bidi="ar"/>
              </w:rPr>
              <w:t>生产企业</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甲磺酸伊马替尼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甲磺酸伊马替尼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100毫克/60片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石药集团欧意药业有限公司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甲磺酸伊马替尼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甲磺酸伊马替尼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硬胶囊</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100毫克/60粒</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正大天晴药业集团股份有限公司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3</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吉非替尼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吉非替尼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0.25克/10片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齐鲁制药(海南)有限公司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4</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50毫克/7片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正大天晴药业集团股份有限公司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5</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20毫克/7片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正大天晴药业集团股份有限公司</w:t>
            </w:r>
          </w:p>
        </w:tc>
      </w:tr>
      <w:tr>
        <w:tblPrEx>
          <w:tblCellMar>
            <w:top w:w="15" w:type="dxa"/>
            <w:left w:w="15" w:type="dxa"/>
            <w:bottom w:w="15" w:type="dxa"/>
            <w:right w:w="15" w:type="dxa"/>
          </w:tblCellMar>
        </w:tblPrEx>
        <w:trPr>
          <w:trHeight w:val="660"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6</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格列卫</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甲磺酸伊马替尼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100毫克/60片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德国诺华(Novartis Pharma Produktions GmbH)</w:t>
            </w:r>
          </w:p>
        </w:tc>
      </w:tr>
      <w:tr>
        <w:tblPrEx>
          <w:tblCellMar>
            <w:top w:w="15" w:type="dxa"/>
            <w:left w:w="15" w:type="dxa"/>
            <w:bottom w:w="15" w:type="dxa"/>
            <w:right w:w="15" w:type="dxa"/>
          </w:tblCellMar>
        </w:tblPrEx>
        <w:trPr>
          <w:trHeight w:val="48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7</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易瑞沙</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吉非替尼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0.25克/10片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英国阿斯利康AstraZeneca UK Limited(阿斯利康制药分装)</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8</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甲苯磺酸索拉非尼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甲苯磺酸索拉非尼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0.2克/60片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德国Bayer Pharma AG</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9</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达希纳</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尼洛替尼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胶囊剂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200毫克/120粒</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Novartis Pharma Stein AG(诺华制药)</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10</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达希纳</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尼洛替尼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胶囊剂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150毫克/120粒</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Novartis Pharma Stein AG(诺华制药)</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11</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50毫克/60片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美国Bristol-Myers Squibb Pharma Company</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12</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达沙替尼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20毫克/60片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美国Bristol-Myers Squibb Pharma Company</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13</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凯美纳</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盐酸埃克替尼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125毫克/21片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贝达药业股份有限公司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14</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瑞复美</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来那度胺</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硬胶囊</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10毫克/21粒</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Celgene International Sarl(瑞士)</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15</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瑞复美</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来那度胺</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硬胶囊</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25毫克/21粒</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Celgene International Sarl(瑞士)</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16</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甲磺酸阿帕替尼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甲磺酸阿帕替尼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0.25克/10片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江苏恒瑞医药股份有限公司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17</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甲磺酸阿帕替尼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甲磺酸阿帕替尼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0.425克/14片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江苏恒瑞医药股份有限公司</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18</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西达本胺</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西达本胺</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5毫克/24粒</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深圳微芯生物科技有限责任公司</w:t>
            </w:r>
          </w:p>
        </w:tc>
      </w:tr>
      <w:tr>
        <w:tblPrEx>
          <w:tblCellMar>
            <w:top w:w="15" w:type="dxa"/>
            <w:left w:w="15" w:type="dxa"/>
            <w:bottom w:w="15" w:type="dxa"/>
            <w:right w:w="15" w:type="dxa"/>
          </w:tblCellMar>
        </w:tblPrEx>
        <w:trPr>
          <w:trHeight w:val="67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19</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依维莫司</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依维莫司</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5毫克/30片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瑞士诺华制药有限公司Novartis　Pharma　Stein　AG</w:t>
            </w:r>
          </w:p>
        </w:tc>
      </w:tr>
      <w:tr>
        <w:tblPrEx>
          <w:tblCellMar>
            <w:top w:w="15" w:type="dxa"/>
            <w:left w:w="15" w:type="dxa"/>
            <w:bottom w:w="15" w:type="dxa"/>
            <w:right w:w="15" w:type="dxa"/>
          </w:tblCellMar>
        </w:tblPrEx>
        <w:trPr>
          <w:trHeight w:val="660"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20</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依维莫司</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依维莫司</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2.5毫克/30片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瑞士诺华制药有限公司Novartis　Pharma　Stein　AG</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21</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醋酸阿比特龙</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醋酸阿比特龙</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0.25克/120片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Patheon Inc.</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22</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盐酸厄洛替尼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盐酸厄洛替尼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0.15克/7片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意大利罗氏ROCHE　S.P.A</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23</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甲苯磺酸拉帕替尼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甲苯磺酸拉帕替尼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片剂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0.25克/70片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英国Glaxo Operations UK Limited</w:t>
            </w:r>
          </w:p>
        </w:tc>
      </w:tr>
      <w:tr>
        <w:tblPrEx>
          <w:tblCellMar>
            <w:top w:w="15" w:type="dxa"/>
            <w:left w:w="15" w:type="dxa"/>
            <w:bottom w:w="15" w:type="dxa"/>
            <w:right w:w="15" w:type="dxa"/>
          </w:tblCellMar>
        </w:tblPrEx>
        <w:trPr>
          <w:trHeight w:val="495" w:hRule="atLeast"/>
        </w:trPr>
        <w:tc>
          <w:tcPr>
            <w:tcW w:w="405"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24</w:t>
            </w:r>
          </w:p>
        </w:tc>
        <w:tc>
          <w:tcPr>
            <w:tcW w:w="1028"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盐酸厄洛替尼</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盐酸厄洛替尼</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薄膜衣片</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0.1克/30片</w:t>
            </w:r>
          </w:p>
        </w:tc>
        <w:tc>
          <w:tcPr>
            <w:tcW w:w="3402" w:type="dxa"/>
            <w:tcBorders>
              <w:top w:val="single" w:color="000000" w:sz="4" w:space="0"/>
              <w:left w:val="single" w:color="000000" w:sz="4" w:space="0"/>
              <w:bottom w:val="single" w:color="000000" w:sz="4" w:space="0"/>
              <w:right w:val="single" w:color="000000" w:sz="4" w:space="0"/>
            </w:tcBorders>
            <w:vAlign w:val="center"/>
          </w:tcPr>
          <w:p>
            <w:pPr>
              <w:spacing w:line="240" w:lineRule="exact"/>
              <w:textAlignment w:val="bottom"/>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bidi="ar"/>
              </w:rPr>
              <w:t>意大利罗氏ROCHE　S.P.A</w:t>
            </w:r>
          </w:p>
        </w:tc>
      </w:tr>
    </w:tbl>
    <w:p>
      <w:pPr>
        <w:spacing w:line="560" w:lineRule="exact"/>
        <w:ind w:firstLine="640" w:firstLineChars="200"/>
        <w:rPr>
          <w:rFonts w:ascii="仿宋" w:hAnsi="仿宋" w:eastAsia="仿宋"/>
          <w:sz w:val="32"/>
          <w:szCs w:val="32"/>
        </w:rPr>
      </w:pPr>
    </w:p>
    <w:p>
      <w:pPr>
        <w:spacing w:line="560" w:lineRule="exact"/>
        <w:ind w:firstLine="560" w:firstLineChars="200"/>
        <w:rPr>
          <w:rFonts w:ascii="楷体" w:hAnsi="楷体" w:eastAsia="楷体"/>
          <w:sz w:val="28"/>
          <w:szCs w:val="28"/>
        </w:rPr>
      </w:pPr>
      <w:r>
        <w:rPr>
          <w:rFonts w:hint="eastAsia" w:ascii="黑体" w:hAnsi="黑体" w:eastAsia="黑体"/>
          <w:sz w:val="28"/>
          <w:szCs w:val="28"/>
        </w:rPr>
        <w:t>参考</w:t>
      </w:r>
      <w:r>
        <w:rPr>
          <w:rFonts w:ascii="黑体" w:hAnsi="黑体" w:eastAsia="黑体"/>
          <w:sz w:val="28"/>
          <w:szCs w:val="28"/>
        </w:rPr>
        <w:t>文件</w:t>
      </w:r>
      <w:r>
        <w:rPr>
          <w:rFonts w:hint="eastAsia" w:ascii="黑体" w:hAnsi="黑体" w:eastAsia="黑体"/>
          <w:sz w:val="28"/>
          <w:szCs w:val="28"/>
        </w:rPr>
        <w:t>：</w:t>
      </w:r>
      <w:r>
        <w:rPr>
          <w:rFonts w:hint="eastAsia" w:ascii="楷体" w:hAnsi="楷体" w:eastAsia="楷体"/>
          <w:sz w:val="28"/>
          <w:szCs w:val="28"/>
        </w:rPr>
        <w:t>闽医保办〔2017〕78号、闽医保办〔2017〕120号、</w:t>
      </w:r>
      <w:r>
        <w:rPr>
          <w:rFonts w:ascii="楷体" w:hAnsi="楷体" w:eastAsia="楷体"/>
          <w:sz w:val="28"/>
          <w:szCs w:val="28"/>
        </w:rPr>
        <w:t>闽医</w:t>
      </w:r>
      <w:r>
        <w:rPr>
          <w:rFonts w:hint="eastAsia" w:ascii="楷体" w:hAnsi="楷体" w:eastAsia="楷体"/>
          <w:sz w:val="28"/>
          <w:szCs w:val="28"/>
        </w:rPr>
        <w:t>管</w:t>
      </w:r>
      <w:r>
        <w:rPr>
          <w:rFonts w:ascii="楷体" w:hAnsi="楷体" w:eastAsia="楷体"/>
          <w:sz w:val="28"/>
          <w:szCs w:val="28"/>
        </w:rPr>
        <w:t>发</w:t>
      </w:r>
      <w:r>
        <w:rPr>
          <w:rFonts w:hint="eastAsia" w:ascii="楷体" w:hAnsi="楷体" w:eastAsia="楷体"/>
          <w:sz w:val="28"/>
          <w:szCs w:val="28"/>
        </w:rPr>
        <w:t>〔2017〕</w:t>
      </w:r>
      <w:r>
        <w:rPr>
          <w:rFonts w:ascii="楷体" w:hAnsi="楷体" w:eastAsia="楷体"/>
          <w:sz w:val="28"/>
          <w:szCs w:val="28"/>
        </w:rPr>
        <w:t>162</w:t>
      </w:r>
      <w:r>
        <w:rPr>
          <w:rFonts w:hint="eastAsia" w:ascii="楷体" w:hAnsi="楷体" w:eastAsia="楷体"/>
          <w:sz w:val="28"/>
          <w:szCs w:val="28"/>
        </w:rPr>
        <w:t>号</w:t>
      </w:r>
    </w:p>
    <w:p>
      <w:pPr>
        <w:pStyle w:val="12"/>
        <w:spacing w:before="0" w:beforeAutospacing="0" w:after="0" w:afterAutospacing="0" w:line="560" w:lineRule="exact"/>
        <w:ind w:right="640"/>
        <w:rPr>
          <w:rFonts w:ascii="仿宋" w:hAnsi="仿宋" w:eastAsia="仿宋"/>
          <w:sz w:val="32"/>
          <w:szCs w:val="32"/>
        </w:rPr>
      </w:pPr>
    </w:p>
    <w:sectPr>
      <w:pgSz w:w="11906" w:h="16838"/>
      <w:pgMar w:top="1134" w:right="1418" w:bottom="1134"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Formatting/>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5C2"/>
    <w:rsid w:val="00004715"/>
    <w:rsid w:val="000258D9"/>
    <w:rsid w:val="000A18B7"/>
    <w:rsid w:val="000A3692"/>
    <w:rsid w:val="0012619D"/>
    <w:rsid w:val="001B3B25"/>
    <w:rsid w:val="00227E5E"/>
    <w:rsid w:val="00242695"/>
    <w:rsid w:val="00285802"/>
    <w:rsid w:val="00350323"/>
    <w:rsid w:val="00351230"/>
    <w:rsid w:val="00356FB3"/>
    <w:rsid w:val="003A70FA"/>
    <w:rsid w:val="003F0FE9"/>
    <w:rsid w:val="00402180"/>
    <w:rsid w:val="00420EA9"/>
    <w:rsid w:val="004431AC"/>
    <w:rsid w:val="00457D1A"/>
    <w:rsid w:val="00486FFC"/>
    <w:rsid w:val="004C0883"/>
    <w:rsid w:val="005371C6"/>
    <w:rsid w:val="00596E96"/>
    <w:rsid w:val="005F70B0"/>
    <w:rsid w:val="0064195E"/>
    <w:rsid w:val="006E5FC9"/>
    <w:rsid w:val="007A2390"/>
    <w:rsid w:val="007E18D3"/>
    <w:rsid w:val="007E25C2"/>
    <w:rsid w:val="008B7E83"/>
    <w:rsid w:val="0092388D"/>
    <w:rsid w:val="00A85407"/>
    <w:rsid w:val="00AC2918"/>
    <w:rsid w:val="00B00263"/>
    <w:rsid w:val="00B04BAD"/>
    <w:rsid w:val="00C17218"/>
    <w:rsid w:val="00C67BF9"/>
    <w:rsid w:val="00D347C6"/>
    <w:rsid w:val="00D411A3"/>
    <w:rsid w:val="00E34A71"/>
    <w:rsid w:val="00E47A3B"/>
    <w:rsid w:val="00EE2F84"/>
    <w:rsid w:val="00F5796B"/>
    <w:rsid w:val="00F8120C"/>
    <w:rsid w:val="00FD51FA"/>
    <w:rsid w:val="14871B31"/>
    <w:rsid w:val="430C7F51"/>
    <w:rsid w:val="565D3200"/>
    <w:rsid w:val="57437B18"/>
    <w:rsid w:val="596B2052"/>
    <w:rsid w:val="6D875F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宋体"/>
      <w:sz w:val="22"/>
      <w:szCs w:val="22"/>
      <w:lang w:val="en-US" w:eastAsia="zh-CN" w:bidi="ar-SA"/>
    </w:rPr>
  </w:style>
  <w:style w:type="paragraph" w:styleId="2">
    <w:name w:val="heading 1"/>
    <w:basedOn w:val="1"/>
    <w:next w:val="1"/>
    <w:link w:val="27"/>
    <w:qFormat/>
    <w:uiPriority w:val="0"/>
    <w:pPr>
      <w:keepNext/>
      <w:keepLines/>
      <w:widowControl w:val="0"/>
      <w:adjustRightInd/>
      <w:snapToGrid/>
      <w:spacing w:before="340" w:after="330" w:line="578" w:lineRule="auto"/>
      <w:jc w:val="both"/>
      <w:outlineLvl w:val="0"/>
    </w:pPr>
    <w:rPr>
      <w:rFonts w:ascii="Times New Roman" w:hAnsi="Times New Roman" w:eastAsia="仿宋" w:cs="Times New Roman"/>
      <w:b/>
      <w:bCs/>
      <w:kern w:val="44"/>
      <w:sz w:val="32"/>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qFormat/>
    <w:uiPriority w:val="99"/>
  </w:style>
  <w:style w:type="paragraph" w:styleId="4">
    <w:name w:val="Plain Text"/>
    <w:basedOn w:val="1"/>
    <w:link w:val="29"/>
    <w:qFormat/>
    <w:uiPriority w:val="0"/>
    <w:pPr>
      <w:widowControl w:val="0"/>
      <w:adjustRightInd/>
      <w:snapToGrid/>
      <w:spacing w:after="0"/>
      <w:jc w:val="both"/>
    </w:pPr>
    <w:rPr>
      <w:rFonts w:ascii="宋体" w:hAnsi="Courier New"/>
      <w:kern w:val="2"/>
      <w:sz w:val="21"/>
      <w:szCs w:val="20"/>
    </w:rPr>
  </w:style>
  <w:style w:type="paragraph" w:styleId="5">
    <w:name w:val="Date"/>
    <w:basedOn w:val="1"/>
    <w:next w:val="1"/>
    <w:link w:val="26"/>
    <w:unhideWhenUsed/>
    <w:qFormat/>
    <w:uiPriority w:val="0"/>
    <w:pPr>
      <w:ind w:left="100" w:leftChars="2500"/>
    </w:pPr>
  </w:style>
  <w:style w:type="paragraph" w:styleId="6">
    <w:name w:val="Balloon Text"/>
    <w:basedOn w:val="1"/>
    <w:link w:val="25"/>
    <w:qFormat/>
    <w:uiPriority w:val="99"/>
    <w:pPr>
      <w:spacing w:after="0"/>
    </w:pPr>
    <w:rPr>
      <w:sz w:val="18"/>
      <w:szCs w:val="18"/>
    </w:rPr>
  </w:style>
  <w:style w:type="paragraph" w:styleId="7">
    <w:name w:val="footer"/>
    <w:basedOn w:val="1"/>
    <w:link w:val="22"/>
    <w:qFormat/>
    <w:uiPriority w:val="99"/>
    <w:pPr>
      <w:tabs>
        <w:tab w:val="center" w:pos="4153"/>
        <w:tab w:val="right" w:pos="8306"/>
      </w:tabs>
    </w:pPr>
    <w:rPr>
      <w:sz w:val="18"/>
      <w:szCs w:val="18"/>
    </w:rPr>
  </w:style>
  <w:style w:type="paragraph" w:styleId="8">
    <w:name w:val="header"/>
    <w:basedOn w:val="1"/>
    <w:link w:val="21"/>
    <w:qFormat/>
    <w:uiPriority w:val="0"/>
    <w:pPr>
      <w:pBdr>
        <w:bottom w:val="single" w:color="auto" w:sz="6" w:space="1"/>
      </w:pBdr>
      <w:tabs>
        <w:tab w:val="center" w:pos="4153"/>
        <w:tab w:val="right" w:pos="8306"/>
      </w:tabs>
      <w:jc w:val="center"/>
    </w:pPr>
    <w:rPr>
      <w:sz w:val="18"/>
      <w:szCs w:val="18"/>
    </w:rPr>
  </w:style>
  <w:style w:type="paragraph" w:styleId="9">
    <w:name w:val="toc 1"/>
    <w:basedOn w:val="1"/>
    <w:next w:val="1"/>
    <w:qFormat/>
    <w:uiPriority w:val="39"/>
    <w:pPr>
      <w:widowControl w:val="0"/>
      <w:adjustRightInd/>
      <w:snapToGrid/>
      <w:spacing w:after="0"/>
      <w:jc w:val="both"/>
    </w:pPr>
    <w:rPr>
      <w:rFonts w:ascii="Times New Roman" w:hAnsi="Times New Roman" w:eastAsia="宋体" w:cs="Times New Roman"/>
      <w:kern w:val="2"/>
      <w:sz w:val="21"/>
      <w:szCs w:val="24"/>
    </w:rPr>
  </w:style>
  <w:style w:type="paragraph" w:styleId="10">
    <w:name w:val="Subtitle"/>
    <w:basedOn w:val="1"/>
    <w:next w:val="1"/>
    <w:link w:val="34"/>
    <w:qFormat/>
    <w:uiPriority w:val="0"/>
    <w:pPr>
      <w:widowControl w:val="0"/>
      <w:adjustRightInd/>
      <w:snapToGrid/>
      <w:spacing w:before="240" w:after="60" w:line="312" w:lineRule="auto"/>
      <w:outlineLvl w:val="1"/>
    </w:pPr>
    <w:rPr>
      <w:rFonts w:ascii="Calibri Light" w:hAnsi="Calibri Light" w:eastAsia="仿宋" w:cs="Times New Roman"/>
      <w:b/>
      <w:bCs/>
      <w:kern w:val="28"/>
      <w:sz w:val="32"/>
      <w:szCs w:val="32"/>
    </w:rPr>
  </w:style>
  <w:style w:type="paragraph" w:styleId="11">
    <w:name w:val="toc 2"/>
    <w:basedOn w:val="1"/>
    <w:next w:val="1"/>
    <w:qFormat/>
    <w:uiPriority w:val="39"/>
    <w:pPr>
      <w:widowControl w:val="0"/>
      <w:adjustRightInd/>
      <w:snapToGrid/>
      <w:spacing w:after="0"/>
      <w:ind w:left="420" w:leftChars="200"/>
      <w:jc w:val="both"/>
    </w:pPr>
    <w:rPr>
      <w:rFonts w:ascii="Times New Roman" w:hAnsi="Times New Roman" w:eastAsia="宋体" w:cs="Times New Roman"/>
      <w:kern w:val="2"/>
      <w:sz w:val="21"/>
      <w:szCs w:val="24"/>
    </w:rPr>
  </w:style>
  <w:style w:type="paragraph" w:styleId="12">
    <w:name w:val="Normal (Web)"/>
    <w:basedOn w:val="1"/>
    <w:qFormat/>
    <w:uiPriority w:val="0"/>
    <w:pPr>
      <w:adjustRightInd/>
      <w:snapToGrid/>
      <w:spacing w:before="100" w:beforeAutospacing="1" w:after="100" w:afterAutospacing="1"/>
    </w:pPr>
    <w:rPr>
      <w:rFonts w:ascii="宋体" w:hAnsi="宋体" w:eastAsia="宋体"/>
      <w:sz w:val="24"/>
      <w:szCs w:val="24"/>
    </w:rPr>
  </w:style>
  <w:style w:type="paragraph" w:styleId="13">
    <w:name w:val="Title"/>
    <w:basedOn w:val="1"/>
    <w:next w:val="1"/>
    <w:link w:val="33"/>
    <w:qFormat/>
    <w:uiPriority w:val="0"/>
    <w:pPr>
      <w:widowControl w:val="0"/>
      <w:adjustRightInd/>
      <w:snapToGrid/>
      <w:spacing w:before="240" w:after="60"/>
      <w:jc w:val="center"/>
      <w:outlineLvl w:val="0"/>
    </w:pPr>
    <w:rPr>
      <w:rFonts w:ascii="Calibri Light" w:hAnsi="Calibri Light" w:eastAsia="仿宋" w:cs="Times New Roman"/>
      <w:b/>
      <w:bCs/>
      <w:kern w:val="2"/>
      <w:sz w:val="44"/>
      <w:szCs w:val="32"/>
    </w:rPr>
  </w:style>
  <w:style w:type="paragraph" w:styleId="14">
    <w:name w:val="annotation subject"/>
    <w:basedOn w:val="3"/>
    <w:next w:val="3"/>
    <w:link w:val="24"/>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qFormat/>
    <w:uiPriority w:val="20"/>
    <w:rPr>
      <w:i/>
      <w:iCs/>
    </w:rPr>
  </w:style>
  <w:style w:type="character" w:styleId="19">
    <w:name w:val="Hyperlink"/>
    <w:unhideWhenUsed/>
    <w:qFormat/>
    <w:uiPriority w:val="99"/>
    <w:rPr>
      <w:color w:val="0563C1"/>
      <w:u w:val="single"/>
    </w:rPr>
  </w:style>
  <w:style w:type="character" w:styleId="20">
    <w:name w:val="annotation reference"/>
    <w:basedOn w:val="17"/>
    <w:qFormat/>
    <w:uiPriority w:val="99"/>
    <w:rPr>
      <w:sz w:val="21"/>
      <w:szCs w:val="21"/>
    </w:rPr>
  </w:style>
  <w:style w:type="character" w:customStyle="1" w:styleId="21">
    <w:name w:val="页眉 Char"/>
    <w:basedOn w:val="17"/>
    <w:link w:val="8"/>
    <w:qFormat/>
    <w:uiPriority w:val="0"/>
    <w:rPr>
      <w:rFonts w:ascii="Tahoma" w:hAnsi="Tahoma"/>
      <w:sz w:val="18"/>
      <w:szCs w:val="18"/>
    </w:rPr>
  </w:style>
  <w:style w:type="character" w:customStyle="1" w:styleId="22">
    <w:name w:val="页脚 Char"/>
    <w:basedOn w:val="17"/>
    <w:link w:val="7"/>
    <w:qFormat/>
    <w:uiPriority w:val="99"/>
    <w:rPr>
      <w:rFonts w:ascii="Tahoma" w:hAnsi="Tahoma"/>
      <w:sz w:val="18"/>
      <w:szCs w:val="18"/>
    </w:rPr>
  </w:style>
  <w:style w:type="character" w:customStyle="1" w:styleId="23">
    <w:name w:val="批注文字 Char"/>
    <w:basedOn w:val="17"/>
    <w:link w:val="3"/>
    <w:qFormat/>
    <w:uiPriority w:val="99"/>
    <w:rPr>
      <w:rFonts w:ascii="Tahoma" w:hAnsi="Tahoma"/>
    </w:rPr>
  </w:style>
  <w:style w:type="character" w:customStyle="1" w:styleId="24">
    <w:name w:val="批注主题 Char"/>
    <w:basedOn w:val="23"/>
    <w:link w:val="14"/>
    <w:qFormat/>
    <w:uiPriority w:val="99"/>
    <w:rPr>
      <w:rFonts w:ascii="Tahoma" w:hAnsi="Tahoma"/>
      <w:b/>
      <w:bCs/>
    </w:rPr>
  </w:style>
  <w:style w:type="character" w:customStyle="1" w:styleId="25">
    <w:name w:val="批注框文本 Char"/>
    <w:basedOn w:val="17"/>
    <w:link w:val="6"/>
    <w:qFormat/>
    <w:uiPriority w:val="99"/>
    <w:rPr>
      <w:rFonts w:ascii="Tahoma" w:hAnsi="Tahoma"/>
      <w:sz w:val="18"/>
      <w:szCs w:val="18"/>
    </w:rPr>
  </w:style>
  <w:style w:type="character" w:customStyle="1" w:styleId="26">
    <w:name w:val="日期 Char"/>
    <w:basedOn w:val="17"/>
    <w:link w:val="5"/>
    <w:qFormat/>
    <w:uiPriority w:val="0"/>
    <w:rPr>
      <w:rFonts w:ascii="Tahoma" w:hAnsi="Tahoma"/>
      <w:sz w:val="22"/>
      <w:szCs w:val="22"/>
    </w:rPr>
  </w:style>
  <w:style w:type="character" w:customStyle="1" w:styleId="27">
    <w:name w:val="标题 1 Char"/>
    <w:basedOn w:val="17"/>
    <w:link w:val="2"/>
    <w:qFormat/>
    <w:uiPriority w:val="0"/>
    <w:rPr>
      <w:rFonts w:ascii="Times New Roman" w:hAnsi="Times New Roman" w:eastAsia="仿宋" w:cs="Times New Roman"/>
      <w:b/>
      <w:bCs/>
      <w:kern w:val="44"/>
      <w:sz w:val="32"/>
      <w:szCs w:val="44"/>
    </w:rPr>
  </w:style>
  <w:style w:type="character" w:customStyle="1" w:styleId="28">
    <w:name w:val="纯文本 Char"/>
    <w:qFormat/>
    <w:uiPriority w:val="0"/>
    <w:rPr>
      <w:rFonts w:ascii="宋体" w:hAnsi="Courier New" w:cs="Courier New"/>
      <w:kern w:val="2"/>
      <w:sz w:val="21"/>
      <w:szCs w:val="21"/>
    </w:rPr>
  </w:style>
  <w:style w:type="character" w:customStyle="1" w:styleId="29">
    <w:name w:val="纯文本 Char1"/>
    <w:link w:val="4"/>
    <w:qFormat/>
    <w:uiPriority w:val="0"/>
    <w:rPr>
      <w:rFonts w:ascii="宋体" w:hAnsi="Courier New"/>
      <w:kern w:val="2"/>
      <w:sz w:val="21"/>
    </w:rPr>
  </w:style>
  <w:style w:type="character" w:customStyle="1" w:styleId="30">
    <w:name w:val="纯文本 Char2"/>
    <w:basedOn w:val="17"/>
    <w:semiHidden/>
    <w:uiPriority w:val="99"/>
    <w:rPr>
      <w:rFonts w:ascii="宋体" w:hAnsi="Courier New" w:eastAsia="宋体" w:cs="Courier New"/>
      <w:sz w:val="21"/>
      <w:szCs w:val="21"/>
    </w:rPr>
  </w:style>
  <w:style w:type="paragraph" w:styleId="31">
    <w:name w:val="List Paragraph"/>
    <w:basedOn w:val="1"/>
    <w:qFormat/>
    <w:uiPriority w:val="99"/>
    <w:pPr>
      <w:widowControl w:val="0"/>
      <w:adjustRightInd/>
      <w:snapToGrid/>
      <w:spacing w:after="0"/>
      <w:ind w:firstLine="420" w:firstLineChars="200"/>
      <w:jc w:val="both"/>
    </w:pPr>
    <w:rPr>
      <w:rFonts w:ascii="Calibri" w:hAnsi="Calibri" w:eastAsia="宋体" w:cs="黑体"/>
      <w:kern w:val="2"/>
      <w:sz w:val="21"/>
      <w:szCs w:val="24"/>
    </w:rPr>
  </w:style>
  <w:style w:type="paragraph" w:customStyle="1" w:styleId="32">
    <w:name w:val="TOC Heading"/>
    <w:basedOn w:val="2"/>
    <w:next w:val="1"/>
    <w:unhideWhenUsed/>
    <w:qFormat/>
    <w:uiPriority w:val="39"/>
    <w:pPr>
      <w:widowControl/>
      <w:spacing w:before="240" w:after="0" w:line="259" w:lineRule="auto"/>
      <w:jc w:val="left"/>
      <w:outlineLvl w:val="9"/>
    </w:pPr>
    <w:rPr>
      <w:rFonts w:ascii="Calibri Light" w:hAnsi="Calibri Light" w:eastAsia="宋体"/>
      <w:b w:val="0"/>
      <w:bCs w:val="0"/>
      <w:color w:val="2E74B5"/>
      <w:kern w:val="0"/>
      <w:szCs w:val="32"/>
    </w:rPr>
  </w:style>
  <w:style w:type="character" w:customStyle="1" w:styleId="33">
    <w:name w:val="标题 Char"/>
    <w:basedOn w:val="17"/>
    <w:link w:val="13"/>
    <w:qFormat/>
    <w:uiPriority w:val="0"/>
    <w:rPr>
      <w:rFonts w:ascii="Calibri Light" w:hAnsi="Calibri Light" w:eastAsia="仿宋" w:cs="Times New Roman"/>
      <w:b/>
      <w:bCs/>
      <w:kern w:val="2"/>
      <w:sz w:val="44"/>
      <w:szCs w:val="32"/>
    </w:rPr>
  </w:style>
  <w:style w:type="character" w:customStyle="1" w:styleId="34">
    <w:name w:val="副标题 Char"/>
    <w:basedOn w:val="17"/>
    <w:link w:val="10"/>
    <w:qFormat/>
    <w:uiPriority w:val="0"/>
    <w:rPr>
      <w:rFonts w:ascii="Calibri Light" w:hAnsi="Calibri Light" w:eastAsia="仿宋" w:cs="Times New Roman"/>
      <w:b/>
      <w:bCs/>
      <w:kern w:val="28"/>
      <w:sz w:val="32"/>
      <w:szCs w:val="32"/>
    </w:rPr>
  </w:style>
  <w:style w:type="paragraph" w:customStyle="1" w:styleId="35">
    <w:name w:val="Char"/>
    <w:basedOn w:val="1"/>
    <w:qFormat/>
    <w:uiPriority w:val="0"/>
    <w:pPr>
      <w:adjustRightInd/>
      <w:snapToGrid/>
      <w:spacing w:after="160" w:line="240" w:lineRule="exact"/>
    </w:pPr>
    <w:rPr>
      <w:rFonts w:ascii="Verdana" w:hAnsi="Verdana" w:eastAsia="仿宋_GB2312" w:cs="Times New Roman"/>
      <w:sz w:val="28"/>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741CF8-22E5-4962-9B35-8004659986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3074</Words>
  <Characters>17523</Characters>
  <Lines>146</Lines>
  <Paragraphs>41</Paragraphs>
  <TotalTime>218</TotalTime>
  <ScaleCrop>false</ScaleCrop>
  <LinksUpToDate>false</LinksUpToDate>
  <CharactersWithSpaces>20556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2020-07-29T02:29:00Z</dcterms:created>
  <dc:creator>Administrator</dc:creator>
  <cp:lastModifiedBy>云卷云舒～玥</cp:lastModifiedBy>
  <cp:lastPrinted>2020-09-04T10:09:00Z</cp:lastPrinted>
  <dcterms:modified xsi:type="dcterms:W3CDTF">2020-09-04T10:20:39Z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