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center"/>
        <w:outlineLvl w:val="0"/>
        <w:rPr>
          <w:rFonts w:eastAsia="方正小标宋简体"/>
          <w:sz w:val="36"/>
          <w:szCs w:val="36"/>
        </w:rPr>
      </w:pPr>
    </w:p>
    <w:p>
      <w:pPr>
        <w:spacing w:line="338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hint="eastAsia" w:eastAsiaTheme="minorEastAsia"/>
          <w:sz w:val="36"/>
          <w:szCs w:val="36"/>
          <w:lang w:eastAsia="zh-CN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color w:val="222222"/>
          <w:szCs w:val="21"/>
          <w:shd w:val="clear" w:color="auto" w:fill="FCFDFD"/>
          <w:lang w:eastAsia="zh-CN"/>
        </w:rPr>
        <w:t>教育局</w:t>
      </w:r>
    </w:p>
    <w:tbl>
      <w:tblPr>
        <w:tblStyle w:val="3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szCs w:val="21"/>
                <w:shd w:val="clear" w:color="auto" w:fill="FCFDFD"/>
              </w:rPr>
              <w:t>认定历史数据变更 /</w:t>
            </w:r>
            <w:r>
              <w:rPr>
                <w:color w:val="222222"/>
                <w:szCs w:val="21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14B02E2A"/>
    <w:rsid w:val="4E42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dcterms:modified xsi:type="dcterms:W3CDTF">2020-09-03T02:22:51Z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