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535" w:type="dxa"/>
        <w:tblInd w:w="0" w:type="dxa"/>
        <w:shd w:val="clear" w:color="auto" w:fill="auto"/>
        <w:tblLayout w:type="autofit"/>
        <w:tblCellMar>
          <w:top w:w="0" w:type="dxa"/>
          <w:left w:w="0" w:type="dxa"/>
          <w:bottom w:w="0" w:type="dxa"/>
          <w:right w:w="0" w:type="dxa"/>
        </w:tblCellMar>
      </w:tblPr>
      <w:tblGrid>
        <w:gridCol w:w="334"/>
        <w:gridCol w:w="1276"/>
        <w:gridCol w:w="1155"/>
        <w:gridCol w:w="1355"/>
        <w:gridCol w:w="3611"/>
        <w:gridCol w:w="415"/>
        <w:gridCol w:w="2816"/>
        <w:gridCol w:w="1943"/>
        <w:gridCol w:w="1630"/>
      </w:tblGrid>
      <w:tr>
        <w:tblPrEx>
          <w:shd w:val="clear" w:color="auto" w:fill="auto"/>
          <w:tblCellMar>
            <w:top w:w="0" w:type="dxa"/>
            <w:left w:w="0" w:type="dxa"/>
            <w:bottom w:w="0" w:type="dxa"/>
            <w:right w:w="0" w:type="dxa"/>
          </w:tblCellMar>
        </w:tblPrEx>
        <w:trPr>
          <w:trHeight w:val="480" w:hRule="atLeast"/>
        </w:trPr>
        <w:tc>
          <w:tcPr>
            <w:tcW w:w="1610" w:type="dxa"/>
            <w:gridSpan w:val="2"/>
            <w:tcBorders>
              <w:top w:val="nil"/>
              <w:left w:val="nil"/>
              <w:bottom w:val="nil"/>
              <w:right w:val="nil"/>
            </w:tcBorders>
            <w:shd w:val="clear" w:color="auto" w:fill="auto"/>
            <w:tcMar>
              <w:top w:w="15" w:type="dxa"/>
              <w:left w:w="15" w:type="dxa"/>
              <w:right w:w="15" w:type="dxa"/>
            </w:tcMar>
            <w:vAlign w:val="center"/>
          </w:tcPr>
          <w:p>
            <w:pPr>
              <w:jc w:val="left"/>
              <w:rPr>
                <w:rFonts w:hint="eastAsia" w:ascii="黑体" w:hAnsi="宋体" w:eastAsia="黑体" w:cs="黑体"/>
                <w:i w:val="0"/>
                <w:color w:val="000000"/>
                <w:sz w:val="28"/>
                <w:szCs w:val="28"/>
                <w:u w:val="none"/>
              </w:rPr>
            </w:pPr>
            <w:bookmarkStart w:id="0" w:name="_GoBack"/>
            <w:bookmarkEnd w:id="0"/>
          </w:p>
        </w:tc>
        <w:tc>
          <w:tcPr>
            <w:tcW w:w="115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5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611"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1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81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43"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00" w:hRule="atLeast"/>
        </w:trPr>
        <w:tc>
          <w:tcPr>
            <w:tcW w:w="14535"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2020年莫旗事业单位引进专业人才岗位需求目录</w:t>
            </w:r>
          </w:p>
        </w:tc>
      </w:tr>
      <w:tr>
        <w:tblPrEx>
          <w:tblCellMar>
            <w:top w:w="0" w:type="dxa"/>
            <w:left w:w="0" w:type="dxa"/>
            <w:bottom w:w="0" w:type="dxa"/>
            <w:right w:w="0" w:type="dxa"/>
          </w:tblCellMar>
        </w:tblPrEx>
        <w:trPr>
          <w:trHeight w:val="800" w:hRule="atLeast"/>
        </w:trPr>
        <w:tc>
          <w:tcPr>
            <w:tcW w:w="14535"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人才需求信息</w:t>
            </w:r>
          </w:p>
        </w:tc>
      </w:tr>
      <w:tr>
        <w:tblPrEx>
          <w:tblCellMar>
            <w:top w:w="0" w:type="dxa"/>
            <w:left w:w="0" w:type="dxa"/>
            <w:bottom w:w="0" w:type="dxa"/>
            <w:right w:w="0" w:type="dxa"/>
          </w:tblCellMar>
        </w:tblPrEx>
        <w:trPr>
          <w:trHeight w:val="8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用人单位</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岗位名称</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专业</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学历学位</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人数</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有关要求</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联系人联系方式</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电子邮箱</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莫力达瓦达斡尔族自治旗尼尔基第一中学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高中语文教师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汉语言文学、中国语言文学</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聘用后一年内取得相应教师资格证书</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莫力达瓦达斡尔族自治旗尼尔基第一中学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高中数学教师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数学类</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聘用后一年内取得相应教师资格证书</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莫力达瓦达斡尔族自治旗尼尔基第一中学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高中英语教师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英语类</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聘用后一年内取得相应教师资格证书</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莫力达瓦达斡尔族自治旗尼尔基第一中学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高中化学教师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化学类</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聘用后一年内取得相应教师资格证书</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 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莫力达瓦达斡尔族自治旗尼尔基第一中学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高中生物教师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生物科学类</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聘用后一年内取得相应教师资格证书</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 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莫力达瓦达斡尔族自治旗尼尔基第一中学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高中历史教师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历史学类</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聘用后一年内取得相应教师资格证书</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 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莫力达瓦达斡尔族自治旗尼尔基第二中学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初中物理教师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物理学类</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聘用后一年内取得相应教师资格证书</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莫力达瓦达斡尔族自治旗尼尔基第二中学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初中地理教师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地理科学类</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聘用后一年内取得相应教师资格证书</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 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莫力达瓦达斡尔族自治旗尼尔基第二中学</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初中音乐教师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音乐学、音乐表演</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聘用后一年内取得相应教师资格证书</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 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莫力达瓦达斡尔族自治旗职业教育中心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职高语文教师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汉语言文学、中国语言文学</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聘用后一年内取得相应教师资格证书</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 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莫力达瓦达斡尔族自治旗职业教育中心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职高护理教师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护理学类</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 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莫力达瓦达斡尔族自治旗职业教育中心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职高英语教师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英语类</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聘用后一年内取得相应教师资格证书</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 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莫力达瓦达斡尔族自治旗职业教育中心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职高美工教师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设计学类</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 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莫力达瓦达斡尔族自治旗职业教育中心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职高服装设计教师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服装设计与工程类</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 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莫力达瓦达斡尔族自治旗职业教育中心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职高汽修教师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汽车维修工程类</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 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莫力达瓦达斡尔族自治旗特殊教育学校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特殊教育心理疏导教师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心理学</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取得相应职业资格证书</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 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莫力达瓦达斡尔族自治旗特殊教育学校</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特殊教育数学教师</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数学类</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取得相应职业资格证书</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田宏 13847055108   0470-4686339</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"mailto:rsg_2007@163.com"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rsg_2007@163.com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莫力达瓦达斡尔族自治旗人民医院</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临床（内科）</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普通高等院校全日制本科及以上学历</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专业对口；聘用后3年内需取得执业资格，未能取得执业资格者予以解聘；聘用后最低服务期为5年。</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刘翼旅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15304703434 0470-4686518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"mailto:mqwsj000@163.com" \o "mailto:mqwsj000@163.com"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mqwsj000@163.com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莫力达瓦达斡尔族自治旗人民医院</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临床（儿科）</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普通高等院校全日制本科及以上学历</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专业对口；聘用后3年内需取得执业资格，未能取得执业资格者予以解聘；聘用后最低服务期为5年。</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刘翼旅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15304703434 0470-4686518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"mailto:mqwsj000@163.com" \o "mailto:mqwsj000@163.com"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mqwsj000@163.com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莫力达瓦达斡尔族自治旗人民医院</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临床（影像诊断）</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临床医学或医学影像学</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普通高等院校全日制本科及以上学历</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专业对口；聘用后3年内需取得执业资格，未能取得执业资格者予以解聘；聘用后最低服务期为5年。</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刘翼旅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15304703434 0470-4686518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"mailto:mqwsj000@163.com" \o "mailto:mqwsj000@163.com"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mqwsj000@163.com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莫力达瓦达斡尔族自治旗人民医院</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临床（心理咨询科）</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应用心理学</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普通高等院校全日制本科及以上学历</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专业对口；聘用后3年内需取得执业资格，未能取得执业资格者予以解聘；聘用后最低服务期为5年。</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刘翼旅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15304703434 0470-4686518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"mailto:mqwsj000@163.com" \o "mailto:mqwsj000@163.com"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mqwsj000@163.com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莫力达瓦达斡尔族自治旗中蒙医院</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临床（麻醉科）</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麻醉学</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普通高等院校全日制本科及以上学历</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专业对口；聘用后3年内需取得执业资格，未能取得执业资格者予以解聘；聘用后最低服务期为5年。</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刘翼旅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15304703434 0470-4686518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"mailto:mqwsj000@163.com" \o "mailto:mqwsj000@163.com"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mqwsj000@163.com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莫力达瓦达斡尔族自治旗中蒙医院</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中医（内科）</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中医学</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普通高等院校全日制本科及以上学历</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专业对口；聘用后3年内需取得执业资格，未能取得执业资格者予以解聘；聘用后最低服务期为5年。</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刘翼旅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15304703434 0470-4686518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"mailto:mqwsj000@163.com" \o "mailto:mqwsj000@163.com"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mqwsj000@163.com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莫力达瓦达斡尔族自治旗中蒙医院</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中医（针灸科）</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针灸推拿学</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普通高等院校全日制本科及以上学历</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专业对口；聘用后3年内需取得执业资格，未能取得执业资格者予以解聘；聘用后最低服务期为5年。</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刘翼旅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15304703434 0470-4686518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"mailto:mqwsj000@163.com" \o "mailto:mqwsj000@163.com"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mqwsj000@163.com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莫力达瓦达斡尔族自治旗中蒙医院</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临床（外科）</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普通高等院校全日制本科及以上学历</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专业对口；聘用后3年内需取得执业资格，未能取得执业资格者予以解聘；聘用后最低服务期为5年。</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刘翼旅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15304703434 0470-4686518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"mailto:mqwsj000@163.com" \o "mailto:mqwsj000@163.com"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mqwsj000@163.com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莫力达瓦达斡尔族自治旗中蒙医院</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临床（内科）</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普通高等院校全日制本科及以上学历</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专业对口；聘用后3年内需取得执业资格，未能取得执业资格者予以解聘；聘用后最低服务期为5年。</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刘翼旅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15304703434 0470-4686518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"mailto:mqwsj000@163.com" \o "mailto:mqwsj000@163.com"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mqwsj000@163.com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莫力达瓦达斡尔族自治旗中蒙医院</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临床（急诊科）</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普通高等院校全日制本科及以上学历</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专业对口；聘用后3年内需取得执业资格，未能取得执业资格者予以解聘；聘用后最低服务期为5年。</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刘翼旅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15304703434 0470-4686518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"mailto:mqwsj000@163.com" \o "mailto:mqwsj000@163.com"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mqwsj000@163.com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莫力达瓦达斡尔族自治旗妇幼保健计划服务中心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临床（儿科）</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临床医学</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普通高等院校全日制本科及以上学历</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专业对口；聘用后3年内需取得执业资格，未能取得执业资格者予以解聘；聘用后最低服务期为5年。</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刘翼旅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15304703434 0470-4686518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"mailto:mqwsj000@163.com" \o "mailto:mqwsj000@163.com"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mqwsj000@163.com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莫力达瓦达斡尔族自治旗疾病预防控制中心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预防</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预防医学</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普通高等院校全日制本科及以上学历</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专业对口；聘用后3年内需取得执业资格，未能取得执业资格者予以解聘；聘用后最低服务期为5年。</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刘翼旅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15304703434 0470-4686518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kern w:val="0"/>
                <w:sz w:val="20"/>
                <w:szCs w:val="20"/>
                <w:u w:val="none"/>
                <w:lang w:val="en-US" w:eastAsia="zh-CN" w:bidi="ar"/>
              </w:rPr>
              <w:fldChar w:fldCharType="begin"/>
            </w:r>
            <w:r>
              <w:rPr>
                <w:rFonts w:hint="eastAsia" w:ascii="宋体" w:hAnsi="宋体" w:eastAsia="宋体" w:cs="宋体"/>
                <w:i w:val="0"/>
                <w:kern w:val="0"/>
                <w:sz w:val="20"/>
                <w:szCs w:val="20"/>
                <w:u w:val="none"/>
                <w:lang w:val="en-US" w:eastAsia="zh-CN" w:bidi="ar"/>
              </w:rPr>
              <w:instrText xml:space="preserve"> HYPERLINK "mailto:mqwsj000@163.com" \o "mailto:mqwsj000@163.com" </w:instrText>
            </w:r>
            <w:r>
              <w:rPr>
                <w:rFonts w:hint="eastAsia" w:ascii="宋体" w:hAnsi="宋体" w:eastAsia="宋体" w:cs="宋体"/>
                <w:i w:val="0"/>
                <w:kern w:val="0"/>
                <w:sz w:val="20"/>
                <w:szCs w:val="20"/>
                <w:u w:val="none"/>
                <w:lang w:val="en-US" w:eastAsia="zh-CN" w:bidi="ar"/>
              </w:rPr>
              <w:fldChar w:fldCharType="separate"/>
            </w:r>
            <w:r>
              <w:rPr>
                <w:rStyle w:val="7"/>
                <w:rFonts w:hint="eastAsia" w:ascii="宋体" w:hAnsi="宋体" w:eastAsia="宋体" w:cs="宋体"/>
                <w:i w:val="0"/>
                <w:sz w:val="20"/>
                <w:szCs w:val="20"/>
                <w:u w:val="none"/>
              </w:rPr>
              <w:t>mqwsj000@163.com</w:t>
            </w:r>
            <w:r>
              <w:rPr>
                <w:rFonts w:hint="eastAsia" w:ascii="宋体" w:hAnsi="宋体" w:eastAsia="宋体" w:cs="宋体"/>
                <w:i w:val="0"/>
                <w:kern w:val="0"/>
                <w:sz w:val="20"/>
                <w:szCs w:val="20"/>
                <w:u w:val="none"/>
                <w:lang w:val="en-US" w:eastAsia="zh-CN" w:bidi="ar"/>
              </w:rPr>
              <w:fldChar w:fldCharType="end"/>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莫力达瓦达斡尔族自治旗尼尔基镇综合行政执法局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专业不限（法律类、法学类相关专业优先）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莫力达瓦达斡尔族自治旗尼尔基镇党群服务中心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专业不限（财会类、经济学类、金融类相关专业优先）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26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莫力达瓦达斡尔族自治旗红彦镇综合保障和技术推广中心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专业不限（财会类、经济学类金融类相关专业优先）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莫力达瓦达斡尔族自治旗宝山镇综合行政执法局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专业不限（法律类、法学类相关专业优先）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莫力达瓦达斡尔族自治旗宝山镇党群服务中心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专业不限（财会类、经济学类金融类相关专业优先）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68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莫力达瓦达斡尔族自治旗西瓦尔图镇综合保障和技术推广中心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专业不限（农学类、林学类、草学类、动物医学类、动物生产类相关专业优先）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56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莫力达瓦达斡尔族自治旗西瓦尔图镇综合行政执法局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专业不限（农学类、林学类、草学类、动物医学类、动物生产类相关专业优先）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莫力达瓦达斡尔族自治旗塔温敖宝镇综合行政执法局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专业不限（法律类、法学类相关专业优先）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莫力达瓦达斡尔族自治旗塔温敖宝镇党群服务中心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专业不限（财会类、经济学类金融类相关专业优先）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莫力达瓦达斡尔族自治旗腾克镇综合行政执法局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专业不限（法律类、法学类相关专业优先）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莫力达瓦达斡尔族自治旗腾克镇党群服务中心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专业不限（财会类、经济学类金融类相关专业优先）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52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莫力达瓦达斡尔族自治旗巴彦鄂温克民族乡党群服务中心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专业不限（农学类、林学类、草学类、动物医学类、动物生产类相关专业优先）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莫力达瓦达斡尔族自治旗巴彦鄂温克民族乡综合行政执法局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专业不限（计算机类相关专业优先）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莫力达瓦达斡尔族自治旗阿尔拉镇综合行政执法局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专业不限（法律类、法学类相关专业优先）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莫力达瓦达斡尔族自治旗哈达阳镇综合行政执法局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专业不限（法律类、法学类相关专业优先）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莫力达瓦达斡尔族自治旗哈达阳镇党群服务中心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专业不限（财会类、经济学类金融类相关专业优先）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3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莫力达瓦达斡尔族自治旗杜拉尔鄂温克民族乡综合行政执法局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专业不限（法律类、法学类相关专业优先）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44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莫力达瓦达斡尔族自治旗杜拉尔鄂温克民族乡综合保障和技术推广中心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专业不限（财会类、经济学类金融类相关专业优先）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24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莫力达瓦达斡尔族自治旗汉古尔河镇综合行政执法局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专业不限（法律类、法学类相关专业优先）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56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莫力达瓦达斡尔族自治旗汉古尔河镇综合保障和技术推广中心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专业不限（农学类、林学类、草学类、动物医学类、动物生产类相关专业优先）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莫力达瓦达斡尔族自治旗奎勒河镇党群服务中心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专业不限（计算机类相关专业优先）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莫力达瓦达斡尔族自治旗奎勒河镇党群服务中心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专业不限（财会类、经济学类金融类相关专业优先）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莫力达瓦达斡尔族自治旗库如奇乡综合行政执法局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专业不限（财会专业优先）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莫力达瓦达斡尔族自治旗库如奇乡党群服务中心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专业不限（财会专业优先）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莫力达瓦达斡尔族自治旗登特科镇综合行政执法局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专业不限（法律类、法学类相关专业优先）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26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莫力达瓦达斡尔族自治旗登特科镇综合保障和技术推广中心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专业不限（财会类、经济学类金融类相关专业优先）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莫力达瓦达斡尔族自治旗额尔和乡综合行政执法局</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管理岗位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专业不限（法律类、法学类相关专业优先）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r>
        <w:tblPrEx>
          <w:tblCellMar>
            <w:top w:w="0" w:type="dxa"/>
            <w:left w:w="0" w:type="dxa"/>
            <w:bottom w:w="0" w:type="dxa"/>
            <w:right w:w="0" w:type="dxa"/>
          </w:tblCellMar>
        </w:tblPrEx>
        <w:trPr>
          <w:trHeight w:val="1100" w:hRule="atLeast"/>
        </w:trPr>
        <w:tc>
          <w:tcPr>
            <w:tcW w:w="3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2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莫力达瓦达斡尔族自治旗额尔和乡党群服务中心</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专业技术岗位</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专业不限（财会类、经济学类金融类相关专业优先）</w:t>
            </w:r>
          </w:p>
        </w:tc>
        <w:tc>
          <w:tcPr>
            <w:tcW w:w="3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全日制硕士研究生及以上学位学历毕业生;“双一流”大学或学科，“985”院校、“211”院校的全日制本科毕业生;莫旗户籍的达斡尔族全日制本科毕业生</w:t>
            </w:r>
          </w:p>
        </w:tc>
        <w:tc>
          <w:tcPr>
            <w:tcW w:w="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8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王征          0470-4686188</w:t>
            </w:r>
          </w:p>
        </w:tc>
        <w:tc>
          <w:tcPr>
            <w:tcW w:w="1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00" w:afterAutospacing="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804809416@qq.com</w:t>
            </w:r>
          </w:p>
        </w:tc>
      </w:tr>
    </w:tbl>
    <w:p/>
    <w:sectPr>
      <w:footerReference r:id="rId3" w:type="default"/>
      <w:pgSz w:w="16838" w:h="11906" w:orient="landscape"/>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F4218B"/>
    <w:rsid w:val="2BF4218B"/>
    <w:rsid w:val="745D1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2020-09-03T10:32:00Z</dcterms:created>
  <dc:creator>Administrator</dc:creator>
  <cp:lastModifiedBy>Administrator</cp:lastModifiedBy>
  <dcterms:modified xsi:type="dcterms:W3CDTF">2020-09-03T10:38:29Z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