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caps w:val="0"/>
          <w:color w:val="59595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shd w:val="clear" w:fill="FFFFFF"/>
        </w:rPr>
        <w:t>英德市人民医院</w:t>
      </w:r>
      <w:bookmarkStart w:id="0" w:name="_GoBack"/>
      <w:bookmarkEnd w:id="0"/>
      <w:r>
        <w:rPr>
          <w:rFonts w:hint="default" w:ascii="Calibri" w:hAnsi="Calibri" w:cs="Calibri"/>
          <w:i w:val="0"/>
          <w:caps w:val="0"/>
          <w:color w:val="595959"/>
          <w:spacing w:val="0"/>
          <w:sz w:val="24"/>
          <w:szCs w:val="24"/>
          <w:shd w:val="clear" w:fill="FFFFFF"/>
        </w:rPr>
        <w:t>招聘岗位</w:t>
      </w:r>
    </w:p>
    <w:tbl>
      <w:tblPr>
        <w:tblW w:w="0" w:type="auto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7"/>
        <w:gridCol w:w="1008"/>
        <w:gridCol w:w="817"/>
        <w:gridCol w:w="721"/>
        <w:gridCol w:w="825"/>
        <w:gridCol w:w="986"/>
        <w:gridCol w:w="1027"/>
        <w:gridCol w:w="837"/>
        <w:gridCol w:w="15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tblCellSpacing w:w="0" w:type="dxa"/>
        </w:trPr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1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岗位描述</w:t>
            </w:r>
          </w:p>
        </w:tc>
        <w:tc>
          <w:tcPr>
            <w:tcW w:w="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对象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10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专业要求</w:t>
            </w:r>
          </w:p>
        </w:tc>
        <w:tc>
          <w:tcPr>
            <w:tcW w:w="10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职称 要求</w:t>
            </w:r>
          </w:p>
        </w:tc>
        <w:tc>
          <w:tcPr>
            <w:tcW w:w="10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年龄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要求</w:t>
            </w:r>
          </w:p>
        </w:tc>
        <w:tc>
          <w:tcPr>
            <w:tcW w:w="2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9" w:hRule="atLeast"/>
          <w:tblCellSpacing w:w="0" w:type="dxa"/>
        </w:trPr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药师</w:t>
            </w:r>
          </w:p>
        </w:tc>
        <w:tc>
          <w:tcPr>
            <w:tcW w:w="1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主要从事药师工作</w:t>
            </w:r>
          </w:p>
        </w:tc>
        <w:tc>
          <w:tcPr>
            <w:tcW w:w="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往届生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全日制本科及以上</w:t>
            </w:r>
          </w:p>
        </w:tc>
        <w:tc>
          <w:tcPr>
            <w:tcW w:w="1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药学或临床药学</w:t>
            </w:r>
          </w:p>
        </w:tc>
        <w:tc>
          <w:tcPr>
            <w:tcW w:w="10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药师及以上职称</w:t>
            </w:r>
          </w:p>
        </w:tc>
        <w:tc>
          <w:tcPr>
            <w:tcW w:w="10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30周岁以下</w:t>
            </w:r>
          </w:p>
        </w:tc>
        <w:tc>
          <w:tcPr>
            <w:tcW w:w="2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全日制研究生和5年制临床药学专业毕业生优先考虑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3" w:hRule="atLeast"/>
          <w:tblCellSpacing w:w="0" w:type="dxa"/>
        </w:trPr>
        <w:tc>
          <w:tcPr>
            <w:tcW w:w="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人力资源部干事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主要从事人事工作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往届生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全日制大专及以上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文秘、秘书学、汉语言文学专业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30周岁以下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eastAsia="width:521pt;margin-left:6.75pt;margin-right:6.75pt;" w:cs="Calibri"/>
                <w:i w:val="0"/>
                <w:caps w:val="0"/>
                <w:color w:val="595959"/>
                <w:spacing w:val="0"/>
                <w:sz w:val="18"/>
                <w:szCs w:val="18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dth:521pt;margin-left:6.75pt;margin-right:6.75pt;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673B3"/>
    <w:rsid w:val="11B673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2020-08-20T13:11:00Z</dcterms:created>
  <dc:creator>ASUS</dc:creator>
  <cp:lastModifiedBy>ASUS</cp:lastModifiedBy>
  <dcterms:modified xsi:type="dcterms:W3CDTF">2020-08-20T13:11:28Z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