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color w:val="000000"/>
          <w:sz w:val="32"/>
          <w:szCs w:val="32"/>
          <w:shd w:val="clear" w:color="auto" w:fill="FFFFFF"/>
        </w:rPr>
      </w:pPr>
      <w:r>
        <w:rPr>
          <w:rFonts w:hint="eastAsia" w:ascii="黑体" w:hAnsi="黑体" w:eastAsia="黑体" w:cs="仿宋_GB2312"/>
          <w:color w:val="000000"/>
          <w:sz w:val="32"/>
          <w:szCs w:val="32"/>
          <w:shd w:val="clear" w:color="auto" w:fill="FFFFFF"/>
        </w:rPr>
        <w:t>附件</w:t>
      </w:r>
    </w:p>
    <w:p>
      <w:pPr>
        <w:spacing w:line="560" w:lineRule="exact"/>
        <w:jc w:val="center"/>
        <w:rPr>
          <w:rFonts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事业编中小学教师类（D类）岗位笔试科目调整一览表</w:t>
      </w:r>
    </w:p>
    <w:p>
      <w:pPr>
        <w:rPr>
          <w:vanish/>
        </w:rPr>
      </w:pPr>
    </w:p>
    <w:tbl>
      <w:tblPr>
        <w:tblStyle w:val="2"/>
        <w:tblpPr w:leftFromText="180" w:rightFromText="180" w:vertAnchor="text" w:horzAnchor="margin" w:tblpX="-668" w:tblpY="112"/>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276"/>
        <w:gridCol w:w="2976"/>
        <w:gridCol w:w="1276"/>
        <w:gridCol w:w="1985"/>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276" w:type="dxa"/>
            <w:vMerge w:val="restart"/>
            <w:tcBorders>
              <w:top w:val="single" w:color="auto" w:sz="12" w:space="0"/>
              <w:left w:val="single" w:color="auto" w:sz="12" w:space="0"/>
              <w:right w:val="single" w:color="auto" w:sz="4" w:space="0"/>
            </w:tcBorders>
            <w:noWrap w:val="0"/>
            <w:vAlign w:val="center"/>
          </w:tcPr>
          <w:p>
            <w:pPr>
              <w:spacing w:line="300" w:lineRule="exact"/>
              <w:jc w:val="center"/>
              <w:rPr>
                <w:rFonts w:ascii="黑体" w:hAnsi="黑体" w:eastAsia="黑体" w:cs="黑体"/>
                <w:b w:val="0"/>
                <w:bCs/>
                <w:color w:val="000000"/>
                <w:sz w:val="28"/>
                <w:szCs w:val="28"/>
                <w:shd w:val="clear" w:color="auto" w:fill="FFFFFF"/>
              </w:rPr>
            </w:pPr>
            <w:r>
              <w:rPr>
                <w:rFonts w:hint="eastAsia" w:ascii="黑体" w:hAnsi="黑体" w:eastAsia="黑体" w:cs="黑体"/>
                <w:b w:val="0"/>
                <w:bCs/>
                <w:color w:val="000000"/>
                <w:sz w:val="28"/>
                <w:szCs w:val="28"/>
                <w:shd w:val="clear" w:color="auto" w:fill="FFFFFF"/>
              </w:rPr>
              <w:t>学段</w:t>
            </w:r>
          </w:p>
        </w:tc>
        <w:tc>
          <w:tcPr>
            <w:tcW w:w="4252" w:type="dxa"/>
            <w:gridSpan w:val="2"/>
            <w:tcBorders>
              <w:top w:val="single" w:color="auto" w:sz="12" w:space="0"/>
              <w:left w:val="single" w:color="auto" w:sz="4" w:space="0"/>
              <w:bottom w:val="single" w:color="auto" w:sz="8" w:space="0"/>
              <w:right w:val="single" w:color="auto" w:sz="12" w:space="0"/>
            </w:tcBorders>
            <w:noWrap w:val="0"/>
            <w:vAlign w:val="center"/>
          </w:tcPr>
          <w:p>
            <w:pPr>
              <w:spacing w:line="300" w:lineRule="exact"/>
              <w:jc w:val="center"/>
              <w:rPr>
                <w:rFonts w:ascii="黑体" w:hAnsi="黑体" w:eastAsia="黑体" w:cs="黑体"/>
                <w:b w:val="0"/>
                <w:bCs/>
                <w:color w:val="000000"/>
                <w:sz w:val="28"/>
                <w:szCs w:val="28"/>
                <w:shd w:val="clear" w:color="auto" w:fill="FFFFFF"/>
              </w:rPr>
            </w:pPr>
            <w:r>
              <w:rPr>
                <w:rFonts w:hint="eastAsia" w:ascii="黑体" w:hAnsi="黑体" w:eastAsia="黑体" w:cs="黑体"/>
                <w:b w:val="0"/>
                <w:bCs/>
                <w:color w:val="000000"/>
                <w:sz w:val="28"/>
                <w:szCs w:val="28"/>
                <w:shd w:val="clear" w:color="auto" w:fill="FFFFFF"/>
              </w:rPr>
              <w:t>调整前</w:t>
            </w:r>
          </w:p>
        </w:tc>
        <w:tc>
          <w:tcPr>
            <w:tcW w:w="3261" w:type="dxa"/>
            <w:gridSpan w:val="2"/>
            <w:tcBorders>
              <w:top w:val="single" w:color="auto" w:sz="12" w:space="0"/>
              <w:left w:val="single" w:color="auto" w:sz="12" w:space="0"/>
              <w:bottom w:val="single" w:color="auto" w:sz="8" w:space="0"/>
              <w:right w:val="single" w:color="auto" w:sz="12" w:space="0"/>
            </w:tcBorders>
            <w:noWrap w:val="0"/>
            <w:vAlign w:val="center"/>
          </w:tcPr>
          <w:p>
            <w:pPr>
              <w:spacing w:line="300" w:lineRule="exact"/>
              <w:jc w:val="center"/>
              <w:rPr>
                <w:rFonts w:ascii="黑体" w:hAnsi="黑体" w:eastAsia="黑体" w:cs="黑体"/>
                <w:b w:val="0"/>
                <w:bCs/>
                <w:color w:val="000000"/>
                <w:sz w:val="28"/>
                <w:szCs w:val="28"/>
                <w:shd w:val="clear" w:color="auto" w:fill="FFFFFF"/>
              </w:rPr>
            </w:pPr>
            <w:r>
              <w:rPr>
                <w:rFonts w:hint="eastAsia" w:ascii="黑体" w:hAnsi="黑体" w:eastAsia="黑体" w:cs="黑体"/>
                <w:b w:val="0"/>
                <w:bCs/>
                <w:color w:val="000000"/>
                <w:sz w:val="28"/>
                <w:szCs w:val="28"/>
                <w:shd w:val="clear" w:color="auto" w:fill="FFFFFF"/>
              </w:rPr>
              <w:t>调整后</w:t>
            </w:r>
          </w:p>
        </w:tc>
        <w:tc>
          <w:tcPr>
            <w:tcW w:w="1418" w:type="dxa"/>
            <w:vMerge w:val="restart"/>
            <w:tcBorders>
              <w:top w:val="single" w:color="auto" w:sz="12" w:space="0"/>
              <w:left w:val="single" w:color="auto" w:sz="12" w:space="0"/>
              <w:right w:val="single" w:color="auto" w:sz="12" w:space="0"/>
            </w:tcBorders>
            <w:noWrap w:val="0"/>
            <w:vAlign w:val="center"/>
          </w:tcPr>
          <w:p>
            <w:pPr>
              <w:spacing w:line="300" w:lineRule="exact"/>
              <w:jc w:val="center"/>
              <w:rPr>
                <w:rFonts w:hint="eastAsia" w:ascii="黑体" w:hAnsi="黑体" w:eastAsia="黑体" w:cs="黑体"/>
                <w:b w:val="0"/>
                <w:bCs/>
                <w:color w:val="000000"/>
                <w:sz w:val="28"/>
                <w:szCs w:val="28"/>
                <w:shd w:val="clear" w:color="auto" w:fill="FFFFFF"/>
              </w:rPr>
            </w:pPr>
            <w:r>
              <w:rPr>
                <w:rFonts w:hint="eastAsia" w:ascii="黑体" w:hAnsi="黑体" w:eastAsia="黑体" w:cs="黑体"/>
                <w:b w:val="0"/>
                <w:bCs/>
                <w:color w:val="000000"/>
                <w:sz w:val="28"/>
                <w:szCs w:val="28"/>
                <w:shd w:val="clear" w:color="auto" w:fill="FFFFFF"/>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1276" w:type="dxa"/>
            <w:vMerge w:val="continue"/>
            <w:tcBorders>
              <w:left w:val="single" w:color="auto" w:sz="12" w:space="0"/>
              <w:bottom w:val="single" w:color="auto" w:sz="12" w:space="0"/>
              <w:right w:val="single" w:color="auto" w:sz="4" w:space="0"/>
            </w:tcBorders>
            <w:noWrap w:val="0"/>
            <w:vAlign w:val="center"/>
          </w:tcPr>
          <w:p>
            <w:pPr>
              <w:spacing w:line="300" w:lineRule="exact"/>
              <w:jc w:val="center"/>
              <w:rPr>
                <w:rFonts w:ascii="宋体" w:hAnsi="宋体" w:cs="宋体"/>
                <w:b/>
                <w:bCs/>
                <w:color w:val="000000"/>
                <w:sz w:val="24"/>
                <w:shd w:val="clear" w:color="auto" w:fill="FFFFFF"/>
              </w:rPr>
            </w:pPr>
          </w:p>
        </w:tc>
        <w:tc>
          <w:tcPr>
            <w:tcW w:w="1276" w:type="dxa"/>
            <w:tcBorders>
              <w:top w:val="single" w:color="auto" w:sz="8" w:space="0"/>
              <w:left w:val="single" w:color="auto" w:sz="4" w:space="0"/>
              <w:bottom w:val="single" w:color="auto" w:sz="12" w:space="0"/>
            </w:tcBorders>
            <w:noWrap w:val="0"/>
            <w:vAlign w:val="center"/>
          </w:tcPr>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考试</w:t>
            </w:r>
          </w:p>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类别</w:t>
            </w:r>
          </w:p>
        </w:tc>
        <w:tc>
          <w:tcPr>
            <w:tcW w:w="2976" w:type="dxa"/>
            <w:tcBorders>
              <w:top w:val="single" w:color="auto" w:sz="8" w:space="0"/>
              <w:bottom w:val="single" w:color="auto" w:sz="12" w:space="0"/>
              <w:right w:val="single" w:color="auto" w:sz="12" w:space="0"/>
            </w:tcBorders>
            <w:noWrap w:val="0"/>
            <w:vAlign w:val="center"/>
          </w:tcPr>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笔试科目</w:t>
            </w:r>
          </w:p>
        </w:tc>
        <w:tc>
          <w:tcPr>
            <w:tcW w:w="1276" w:type="dxa"/>
            <w:tcBorders>
              <w:top w:val="single" w:color="auto" w:sz="8" w:space="0"/>
              <w:left w:val="single" w:color="auto" w:sz="12" w:space="0"/>
              <w:bottom w:val="single" w:color="auto" w:sz="12" w:space="0"/>
            </w:tcBorders>
            <w:noWrap w:val="0"/>
            <w:vAlign w:val="center"/>
          </w:tcPr>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考试</w:t>
            </w:r>
          </w:p>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类别</w:t>
            </w:r>
          </w:p>
        </w:tc>
        <w:tc>
          <w:tcPr>
            <w:tcW w:w="1985" w:type="dxa"/>
            <w:tcBorders>
              <w:top w:val="single" w:color="auto" w:sz="8" w:space="0"/>
              <w:bottom w:val="single" w:color="auto" w:sz="4" w:space="0"/>
              <w:right w:val="single" w:color="auto" w:sz="12" w:space="0"/>
            </w:tcBorders>
            <w:noWrap w:val="0"/>
            <w:vAlign w:val="center"/>
          </w:tcPr>
          <w:p>
            <w:pPr>
              <w:spacing w:line="300" w:lineRule="exact"/>
              <w:jc w:val="center"/>
              <w:rPr>
                <w:rFonts w:ascii="宋体" w:hAnsi="宋体" w:cs="宋体"/>
                <w:b/>
                <w:bCs/>
                <w:color w:val="000000"/>
                <w:sz w:val="24"/>
                <w:shd w:val="clear" w:color="auto" w:fill="FFFFFF"/>
              </w:rPr>
            </w:pPr>
            <w:r>
              <w:rPr>
                <w:rFonts w:hint="eastAsia" w:ascii="宋体" w:hAnsi="宋体" w:cs="宋体"/>
                <w:b/>
                <w:bCs/>
                <w:color w:val="000000"/>
                <w:sz w:val="24"/>
                <w:szCs w:val="24"/>
                <w:shd w:val="clear" w:color="auto" w:fill="FFFFFF"/>
              </w:rPr>
              <w:t>笔试科目</w:t>
            </w:r>
          </w:p>
        </w:tc>
        <w:tc>
          <w:tcPr>
            <w:tcW w:w="1418" w:type="dxa"/>
            <w:vMerge w:val="continue"/>
            <w:tcBorders>
              <w:left w:val="single" w:color="auto" w:sz="12" w:space="0"/>
              <w:bottom w:val="single" w:color="auto" w:sz="4" w:space="0"/>
              <w:right w:val="single" w:color="auto" w:sz="12" w:space="0"/>
            </w:tcBorders>
            <w:noWrap w:val="0"/>
            <w:vAlign w:val="center"/>
          </w:tcPr>
          <w:p>
            <w:pPr>
              <w:spacing w:line="300" w:lineRule="exact"/>
              <w:jc w:val="left"/>
              <w:rPr>
                <w:rFonts w:ascii="宋体" w:hAnsi="宋体" w:cs="宋体"/>
                <w:b/>
                <w:bCs/>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69" w:hRule="atLeast"/>
        </w:trPr>
        <w:tc>
          <w:tcPr>
            <w:tcW w:w="1276" w:type="dxa"/>
            <w:tcBorders>
              <w:top w:val="single" w:color="auto" w:sz="12" w:space="0"/>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hd w:val="clear" w:color="auto" w:fill="FFFFFF"/>
              </w:rPr>
              <w:t>学前</w:t>
            </w:r>
          </w:p>
          <w:p>
            <w:pPr>
              <w:spacing w:line="300" w:lineRule="exact"/>
              <w:jc w:val="center"/>
              <w:rPr>
                <w:rFonts w:hint="eastAsia" w:ascii="宋体" w:hAnsi="宋体" w:cs="宋体"/>
                <w:color w:val="000000"/>
                <w:sz w:val="24"/>
                <w:shd w:val="clear" w:color="auto" w:fill="FFFFFF"/>
              </w:rPr>
            </w:pPr>
            <w:r>
              <w:rPr>
                <w:rFonts w:ascii="宋体" w:hAnsi="宋体" w:cs="宋体"/>
                <w:color w:val="000000"/>
                <w:sz w:val="24"/>
                <w:shd w:val="clear" w:color="auto" w:fill="FFFFFF"/>
              </w:rPr>
              <w:t>教育</w:t>
            </w:r>
          </w:p>
        </w:tc>
        <w:tc>
          <w:tcPr>
            <w:tcW w:w="1276" w:type="dxa"/>
            <w:vMerge w:val="restart"/>
            <w:tcBorders>
              <w:top w:val="single" w:color="auto" w:sz="12" w:space="0"/>
              <w:left w:val="single" w:color="auto" w:sz="4"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中小学教师类（D类）</w:t>
            </w:r>
          </w:p>
        </w:tc>
        <w:tc>
          <w:tcPr>
            <w:tcW w:w="2976" w:type="dxa"/>
            <w:tcBorders>
              <w:top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《教育综合基础理论和专业知识（学前教育）》</w:t>
            </w:r>
          </w:p>
        </w:tc>
        <w:tc>
          <w:tcPr>
            <w:tcW w:w="1276" w:type="dxa"/>
            <w:vMerge w:val="restart"/>
            <w:tcBorders>
              <w:top w:val="single" w:color="auto" w:sz="12" w:space="0"/>
              <w:lef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中小学教师类（D类）</w:t>
            </w:r>
          </w:p>
        </w:tc>
        <w:tc>
          <w:tcPr>
            <w:tcW w:w="1985" w:type="dxa"/>
            <w:tcBorders>
              <w:top w:val="single" w:color="auto" w:sz="4"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《职业能力倾向测验》（D类）</w:t>
            </w:r>
          </w:p>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《综合应用能力》（D类小学教师类）</w:t>
            </w:r>
          </w:p>
        </w:tc>
        <w:tc>
          <w:tcPr>
            <w:tcW w:w="1418" w:type="dxa"/>
            <w:vMerge w:val="restart"/>
            <w:tcBorders>
              <w:top w:val="single" w:color="auto" w:sz="4" w:space="0"/>
              <w:left w:val="single" w:color="auto" w:sz="12" w:space="0"/>
              <w:right w:val="single" w:color="auto" w:sz="12" w:space="0"/>
            </w:tcBorders>
            <w:noWrap w:val="0"/>
            <w:vAlign w:val="center"/>
          </w:tcPr>
          <w:p>
            <w:pPr>
              <w:rPr>
                <w:rFonts w:ascii="宋体" w:hAnsi="宋体" w:cs="宋体"/>
                <w:b/>
                <w:color w:val="000000"/>
                <w:sz w:val="24"/>
                <w:shd w:val="clear" w:color="auto" w:fill="FFFFFF"/>
              </w:rPr>
            </w:pPr>
            <w:r>
              <w:rPr>
                <w:rFonts w:hint="eastAsia" w:ascii="宋体" w:hAnsi="宋体" w:cs="宋体"/>
                <w:b/>
                <w:bCs/>
                <w:color w:val="000000"/>
                <w:sz w:val="24"/>
                <w:szCs w:val="24"/>
                <w:shd w:val="clear" w:color="auto" w:fill="FFFFFF"/>
              </w:rPr>
              <w:t>调整后，具体岗位的笔试科目以事业单位公开招聘公告中岗位计划一览表里的笔试科目为准。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restart"/>
            <w:tcBorders>
              <w:top w:val="single" w:color="auto" w:sz="4" w:space="0"/>
              <w:left w:val="single" w:color="auto" w:sz="12" w:space="0"/>
              <w:right w:val="single" w:color="auto" w:sz="4" w:space="0"/>
            </w:tcBorders>
            <w:noWrap w:val="0"/>
            <w:vAlign w:val="center"/>
          </w:tcPr>
          <w:p>
            <w:pPr>
              <w:spacing w:line="300" w:lineRule="exact"/>
              <w:jc w:val="center"/>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小学</w:t>
            </w:r>
          </w:p>
        </w:tc>
        <w:tc>
          <w:tcPr>
            <w:tcW w:w="1276" w:type="dxa"/>
            <w:vMerge w:val="continue"/>
            <w:tcBorders>
              <w:left w:val="single" w:color="auto" w:sz="4" w:space="0"/>
            </w:tcBorders>
            <w:noWrap w:val="0"/>
            <w:vAlign w:val="center"/>
          </w:tcPr>
          <w:p>
            <w:pPr>
              <w:spacing w:line="300" w:lineRule="exact"/>
              <w:jc w:val="center"/>
              <w:rPr>
                <w:rFonts w:hint="eastAsia" w:ascii="宋体" w:hAnsi="宋体" w:cs="宋体"/>
                <w:color w:val="000000"/>
                <w:sz w:val="24"/>
                <w:szCs w:val="24"/>
                <w:shd w:val="clear" w:color="auto" w:fill="FFFFFF"/>
              </w:rPr>
            </w:pPr>
          </w:p>
        </w:tc>
        <w:tc>
          <w:tcPr>
            <w:tcW w:w="2976" w:type="dxa"/>
            <w:tcBorders>
              <w:top w:val="single" w:color="auto" w:sz="4" w:space="0"/>
              <w:righ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《教育综合基础理论和专业知识（小学语文）》</w:t>
            </w:r>
          </w:p>
        </w:tc>
        <w:tc>
          <w:tcPr>
            <w:tcW w:w="1276" w:type="dxa"/>
            <w:vMerge w:val="continue"/>
            <w:tcBorders>
              <w:lef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p>
        </w:tc>
        <w:tc>
          <w:tcPr>
            <w:tcW w:w="1985" w:type="dxa"/>
            <w:vMerge w:val="restart"/>
            <w:tcBorders>
              <w:top w:val="single" w:color="auto" w:sz="4"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《职业能力倾向测验》（D类）</w:t>
            </w:r>
          </w:p>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《综合应用能力》（D类小学教师类）</w:t>
            </w:r>
          </w:p>
        </w:tc>
        <w:tc>
          <w:tcPr>
            <w:tcW w:w="1418" w:type="dxa"/>
            <w:vMerge w:val="continue"/>
            <w:tcBorders>
              <w:left w:val="single" w:color="auto" w:sz="12" w:space="0"/>
              <w:right w:val="single" w:color="auto" w:sz="12" w:space="0"/>
            </w:tcBorders>
            <w:noWrap w:val="0"/>
            <w:vAlign w:val="center"/>
          </w:tcPr>
          <w:p>
            <w:pPr>
              <w:spacing w:line="300" w:lineRule="exact"/>
              <w:rPr>
                <w:rFonts w:hint="eastAsia" w:ascii="宋体" w:hAnsi="宋体" w:cs="宋体"/>
                <w:b/>
                <w:bCs/>
                <w:color w:val="000000"/>
                <w:sz w:val="24"/>
                <w:szCs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《教育综合基础理论和专业知识（小学数学）》</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4"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《教育综合基础理论和专业知识（小学美术）》</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4" w:space="0"/>
              <w:righ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《教育综合基础理论和专业知识（心理学）》</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bottom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12" w:space="0"/>
              <w:righ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《教育综合基础理论和专业知识（特殊教育）》</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bottom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restart"/>
            <w:tcBorders>
              <w:top w:val="single" w:color="auto" w:sz="12" w:space="0"/>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初中和</w:t>
            </w:r>
            <w:r>
              <w:rPr>
                <w:rFonts w:ascii="宋体" w:hAnsi="宋体" w:cs="宋体"/>
                <w:color w:val="000000"/>
                <w:sz w:val="24"/>
                <w:szCs w:val="24"/>
                <w:shd w:val="clear" w:color="auto" w:fill="FFFFFF"/>
              </w:rPr>
              <w:t>高中</w:t>
            </w: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top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《教育综合基础理论和专业知识（中学语文）》</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restart"/>
            <w:tcBorders>
              <w:top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《职业能力倾向测验》（D类）</w:t>
            </w:r>
          </w:p>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《综合应用能力》（D类中学教师类）</w:t>
            </w: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《教育综合基础理论和专业知识（中学数学）》</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4"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r>
              <w:rPr>
                <w:rFonts w:hint="eastAsia" w:ascii="宋体" w:hAnsi="宋体" w:cs="宋体"/>
                <w:color w:val="000000"/>
                <w:sz w:val="24"/>
                <w:szCs w:val="24"/>
                <w:shd w:val="clear" w:color="auto" w:fill="FFFFFF"/>
              </w:rPr>
              <w:t>《教育综合基础理论和专业知识（中学物理）》</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4" w:space="0"/>
              <w:righ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《教育综合基础理论和专业知识（心理学）》</w:t>
            </w:r>
          </w:p>
        </w:tc>
        <w:tc>
          <w:tcPr>
            <w:tcW w:w="1276" w:type="dxa"/>
            <w:vMerge w:val="continue"/>
            <w:tcBorders>
              <w:lef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1276" w:type="dxa"/>
            <w:vMerge w:val="continue"/>
            <w:tcBorders>
              <w:left w:val="single" w:color="auto" w:sz="12" w:space="0"/>
              <w:bottom w:val="single" w:color="auto" w:sz="12" w:space="0"/>
              <w:right w:val="single" w:color="auto" w:sz="4" w:space="0"/>
            </w:tcBorders>
            <w:noWrap w:val="0"/>
            <w:vAlign w:val="center"/>
          </w:tcPr>
          <w:p>
            <w:pPr>
              <w:spacing w:line="300" w:lineRule="exact"/>
              <w:jc w:val="center"/>
              <w:rPr>
                <w:rFonts w:ascii="宋体" w:hAnsi="宋体" w:cs="宋体"/>
                <w:color w:val="000000"/>
                <w:sz w:val="24"/>
                <w:shd w:val="clear" w:color="auto" w:fill="FFFFFF"/>
              </w:rPr>
            </w:pPr>
          </w:p>
        </w:tc>
        <w:tc>
          <w:tcPr>
            <w:tcW w:w="1276" w:type="dxa"/>
            <w:vMerge w:val="continue"/>
            <w:tcBorders>
              <w:left w:val="single" w:color="auto" w:sz="4" w:space="0"/>
              <w:bottom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2976" w:type="dxa"/>
            <w:tcBorders>
              <w:bottom w:val="single" w:color="auto" w:sz="12" w:space="0"/>
              <w:right w:val="single" w:color="auto" w:sz="12" w:space="0"/>
            </w:tcBorders>
            <w:noWrap w:val="0"/>
            <w:vAlign w:val="center"/>
          </w:tcPr>
          <w:p>
            <w:pPr>
              <w:spacing w:line="300" w:lineRule="exact"/>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《教育综合基础理论和专业知识（特殊教育）》</w:t>
            </w:r>
          </w:p>
        </w:tc>
        <w:tc>
          <w:tcPr>
            <w:tcW w:w="1276" w:type="dxa"/>
            <w:vMerge w:val="continue"/>
            <w:tcBorders>
              <w:left w:val="single" w:color="auto" w:sz="12" w:space="0"/>
              <w:bottom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985" w:type="dxa"/>
            <w:vMerge w:val="continue"/>
            <w:tcBorders>
              <w:bottom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c>
          <w:tcPr>
            <w:tcW w:w="1418" w:type="dxa"/>
            <w:vMerge w:val="continue"/>
            <w:tcBorders>
              <w:left w:val="single" w:color="auto" w:sz="12" w:space="0"/>
              <w:bottom w:val="single" w:color="auto" w:sz="12" w:space="0"/>
              <w:right w:val="single" w:color="auto" w:sz="12" w:space="0"/>
            </w:tcBorders>
            <w:noWrap w:val="0"/>
            <w:vAlign w:val="center"/>
          </w:tcPr>
          <w:p>
            <w:pPr>
              <w:spacing w:line="300" w:lineRule="exact"/>
              <w:jc w:val="center"/>
              <w:rPr>
                <w:rFonts w:ascii="宋体" w:hAnsi="宋体" w:cs="宋体"/>
                <w:color w:val="000000"/>
                <w:sz w:val="24"/>
                <w:shd w:val="clear" w:color="auto" w:fill="FFFFFF"/>
              </w:rPr>
            </w:pPr>
          </w:p>
        </w:tc>
      </w:tr>
    </w:tbl>
    <w:p>
      <w:pPr>
        <w:rPr>
          <w:rFonts w:hint="eastAsia"/>
        </w:rPr>
      </w:pPr>
    </w:p>
    <w:p>
      <w:bookmarkStart w:id="0" w:name="_GoBack"/>
      <w:bookmarkEnd w:id="0"/>
    </w:p>
    <w:sectPr>
      <w:pgSz w:w="11906" w:h="16838"/>
      <w:pgMar w:top="1247"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748F8"/>
    <w:rsid w:val="7157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2020-08-20T08:56:00Z</dcterms:created>
  <dc:creator>Administrator</dc:creator>
  <cp:lastModifiedBy>Administrator</cp:lastModifiedBy>
  <dcterms:modified xsi:type="dcterms:W3CDTF">2020-08-20T09:05:10Z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