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2020年长春市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二道区使用事业编制专项招聘优秀社区书记（居委会主任）</w:t>
      </w:r>
      <w:r>
        <w:rPr>
          <w:rFonts w:hint="eastAsia" w:ascii="宋体" w:hAnsi="宋体" w:cs="宋体"/>
          <w:sz w:val="44"/>
          <w:szCs w:val="44"/>
        </w:rPr>
        <w:t>笔试考生</w:t>
      </w:r>
    </w:p>
    <w:p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后，应立即通过吉林省12320卫生热线（0431-12320）了解长春市疫情防控相关要求。须进行隔离观察的，要提前到达长春市按要求隔离观察，并于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2020年长春市二道区使用事业编制专项招聘优秀社区书记（居委会主任）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》并每日进行记录。笔试当天，需扫描“吉祥码”、查看“通信大数据行程卡”、2次测温并到考场上交1份《2020年长春市二道区使用事业编制专项招聘优秀社区书记（居委会主任）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《2020年长春市二道区使用事业编制专项招聘优秀社区书记（居委会主任）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37400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C"/>
    <w:rsid w:val="0016315D"/>
    <w:rsid w:val="00177BF7"/>
    <w:rsid w:val="001823D5"/>
    <w:rsid w:val="0027107D"/>
    <w:rsid w:val="00381FE4"/>
    <w:rsid w:val="00456FD1"/>
    <w:rsid w:val="004A3797"/>
    <w:rsid w:val="00576F0D"/>
    <w:rsid w:val="00587059"/>
    <w:rsid w:val="005D45B2"/>
    <w:rsid w:val="006F2B82"/>
    <w:rsid w:val="00793577"/>
    <w:rsid w:val="007A417A"/>
    <w:rsid w:val="007A549F"/>
    <w:rsid w:val="009D51EF"/>
    <w:rsid w:val="009F008E"/>
    <w:rsid w:val="00A03954"/>
    <w:rsid w:val="00A97858"/>
    <w:rsid w:val="00AB64FB"/>
    <w:rsid w:val="00BC7DF5"/>
    <w:rsid w:val="00BD7F23"/>
    <w:rsid w:val="00D30E1C"/>
    <w:rsid w:val="00DC2D6F"/>
    <w:rsid w:val="00DC62D3"/>
    <w:rsid w:val="00DE165C"/>
    <w:rsid w:val="00EC35A1"/>
    <w:rsid w:val="00F9223F"/>
    <w:rsid w:val="031F17C7"/>
    <w:rsid w:val="0CCD23D0"/>
    <w:rsid w:val="13FE1A0C"/>
    <w:rsid w:val="1628592D"/>
    <w:rsid w:val="1A811695"/>
    <w:rsid w:val="1E444BEB"/>
    <w:rsid w:val="1ECB31F3"/>
    <w:rsid w:val="20F71AFF"/>
    <w:rsid w:val="23076A14"/>
    <w:rsid w:val="2D17006B"/>
    <w:rsid w:val="34662CA0"/>
    <w:rsid w:val="36E07E84"/>
    <w:rsid w:val="3D872FEC"/>
    <w:rsid w:val="420073FB"/>
    <w:rsid w:val="42460A53"/>
    <w:rsid w:val="42B61338"/>
    <w:rsid w:val="43AA2368"/>
    <w:rsid w:val="46F46F47"/>
    <w:rsid w:val="48A70CED"/>
    <w:rsid w:val="4F031AA0"/>
    <w:rsid w:val="4F331086"/>
    <w:rsid w:val="504F61A9"/>
    <w:rsid w:val="54623754"/>
    <w:rsid w:val="557875AC"/>
    <w:rsid w:val="5772448E"/>
    <w:rsid w:val="57EC7927"/>
    <w:rsid w:val="5B5A01F8"/>
    <w:rsid w:val="5D5C3F18"/>
    <w:rsid w:val="5EA52A93"/>
    <w:rsid w:val="61372BF4"/>
    <w:rsid w:val="62051EE1"/>
    <w:rsid w:val="62932514"/>
    <w:rsid w:val="64DA1C55"/>
    <w:rsid w:val="67534F0A"/>
    <w:rsid w:val="6A254D99"/>
    <w:rsid w:val="71A429E7"/>
    <w:rsid w:val="76CD7BC9"/>
    <w:rsid w:val="77B3122B"/>
    <w:rsid w:val="79D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1</TotalTime>
  <ScaleCrop>false</ScaleCrop>
  <LinksUpToDate>false</LinksUpToDate>
  <CharactersWithSpaces>1034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2020-07-28T00:19:00Z</dcterms:created>
  <dc:creator>yuan</dc:creator>
  <cp:lastModifiedBy>Administrator</cp:lastModifiedBy>
  <dcterms:modified xsi:type="dcterms:W3CDTF">2020-08-12T02:47:21Z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