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专业分类指导目录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_GB2312" w:eastAsia="仿宋_GB2312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b/>
          <w:bCs/>
          <w:sz w:val="32"/>
          <w:szCs w:val="32"/>
          <w:lang w:val="zh-CN"/>
        </w:rPr>
        <w:t>1、卫生管理类：</w:t>
      </w:r>
      <w:r>
        <w:rPr>
          <w:rFonts w:hint="eastAsia" w:ascii="仿宋_GB2312" w:hAnsi="仿宋" w:eastAsia="仿宋_GB2312"/>
          <w:sz w:val="32"/>
          <w:szCs w:val="32"/>
        </w:rPr>
        <w:t>卫生监督、卫生信息管理、公共卫生管理、医学文秘、医院管理等相关专业</w:t>
      </w:r>
      <w:r>
        <w:rPr>
          <w:rFonts w:hint="eastAsia" w:ascii="仿宋_GB2312" w:eastAsia="仿宋_GB2312" w:cs="仿宋"/>
          <w:sz w:val="32"/>
          <w:szCs w:val="32"/>
          <w:lang w:val="zh-CN"/>
        </w:rPr>
        <w:t>　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  <w:lang w:val="zh-CN"/>
        </w:rPr>
        <w:t>　　</w:t>
      </w:r>
      <w:r>
        <w:rPr>
          <w:rFonts w:hint="eastAsia" w:ascii="仿宋_GB2312" w:hAnsi="黑体" w:eastAsia="仿宋_GB2312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/>
          <w:sz w:val="32"/>
          <w:szCs w:val="32"/>
        </w:rPr>
        <w:t>、计算机科学与技术类：</w:t>
      </w:r>
      <w:r>
        <w:rPr>
          <w:rFonts w:hint="eastAsia" w:ascii="仿宋_GB2312" w:hAnsi="仿宋" w:eastAsia="仿宋_GB2312"/>
          <w:sz w:val="32"/>
          <w:szCs w:val="32"/>
        </w:rPr>
        <w:t>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snapToGrid w:val="0"/>
        <w:spacing w:line="560" w:lineRule="exact"/>
        <w:rPr>
          <w:color w:val="0069C3"/>
          <w:sz w:val="36"/>
          <w:szCs w:val="36"/>
          <w:shd w:val="clear" w:color="auto" w:fill="FFFFFF"/>
        </w:rPr>
      </w:pPr>
    </w:p>
    <w:p/>
    <w:sectPr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23"/>
    <w:rsid w:val="00391E23"/>
    <w:rsid w:val="00BF0A2D"/>
    <w:rsid w:val="05193ED7"/>
    <w:rsid w:val="67016EA9"/>
    <w:rsid w:val="67B9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2020-08-04T08:21:00Z</dcterms:created>
  <dc:creator>Administrator</dc:creator>
  <cp:lastModifiedBy>旧奶酪</cp:lastModifiedBy>
  <dcterms:modified xsi:type="dcterms:W3CDTF">2020-08-10T02:13:58Z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