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              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资格复审时间安排</w:t>
      </w:r>
    </w:p>
    <w:tbl>
      <w:tblPr>
        <w:tblStyle w:val="5"/>
        <w:tblW w:w="9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204"/>
        <w:gridCol w:w="4263"/>
        <w:gridCol w:w="1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分组安排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8月12日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第一组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初中语文（应届）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初中数学（应届）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初中英语（应届）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初中物理（应届）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初中历史（应届）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210020204022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初中地理（应届）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210020201014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210020205025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第三组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210020207021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210020208026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初中体育与健康（男）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210020213028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210020209027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210020215012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210020218030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初中心理健康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210020220031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第四组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初中体育与健康（女）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210020213029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小学语文（女）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210020101033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小学数学（女）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210020102035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210020103037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第五组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小学语文（男）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210020101032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小学数学（男）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210020102034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小学体育与健康（男）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210020111045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8月13日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第一组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小学音乐（应届）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210020109038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小学信息技术（应届）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210020118043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小学英语（应届）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210020103036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小学体育与健康（女）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特教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210020101046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职校高中思想政治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210020316010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职校电子商务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210020317011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210020109039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210020118044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幼儿园教师（应届）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210020401047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第三、四、五组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210020401048</w:t>
            </w:r>
          </w:p>
        </w:tc>
      </w:tr>
    </w:tbl>
    <w:p>
      <w:pPr>
        <w:spacing w:line="540" w:lineRule="exact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附件2</w:t>
      </w:r>
    </w:p>
    <w:p>
      <w:pPr>
        <w:spacing w:line="500" w:lineRule="exact"/>
        <w:jc w:val="center"/>
        <w:rPr>
          <w:rFonts w:eastAsia="仿宋_GB2312"/>
          <w:sz w:val="30"/>
          <w:szCs w:val="30"/>
        </w:rPr>
      </w:pPr>
      <w:r>
        <w:rPr>
          <w:rFonts w:hint="eastAsia" w:ascii="方正小标宋简体" w:hAnsi="仿宋" w:eastAsia="方正小标宋简体"/>
          <w:color w:val="000000"/>
          <w:sz w:val="40"/>
          <w:szCs w:val="40"/>
        </w:rPr>
        <w:t>2020年章贡区教师招聘资格复审登记表</w:t>
      </w:r>
    </w:p>
    <w:p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黑体"/>
          <w:color w:val="000000"/>
          <w:sz w:val="28"/>
          <w:szCs w:val="28"/>
        </w:rPr>
        <w:t>报考岗位名称：            笔试总成绩：        笔试排名：</w:t>
      </w:r>
    </w:p>
    <w:tbl>
      <w:tblPr>
        <w:tblStyle w:val="5"/>
        <w:tblW w:w="950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3"/>
        <w:gridCol w:w="934"/>
        <w:gridCol w:w="242"/>
        <w:gridCol w:w="633"/>
        <w:gridCol w:w="297"/>
        <w:gridCol w:w="128"/>
        <w:gridCol w:w="325"/>
        <w:gridCol w:w="771"/>
        <w:gridCol w:w="60"/>
        <w:gridCol w:w="834"/>
        <w:gridCol w:w="322"/>
        <w:gridCol w:w="475"/>
        <w:gridCol w:w="1114"/>
        <w:gridCol w:w="69"/>
        <w:gridCol w:w="88"/>
        <w:gridCol w:w="762"/>
        <w:gridCol w:w="165"/>
        <w:gridCol w:w="10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   名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 别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</w:t>
            </w:r>
          </w:p>
        </w:tc>
        <w:tc>
          <w:tcPr>
            <w:tcW w:w="502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家庭住址</w:t>
            </w:r>
          </w:p>
        </w:tc>
        <w:tc>
          <w:tcPr>
            <w:tcW w:w="42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联系电话</w:t>
            </w:r>
          </w:p>
        </w:tc>
        <w:tc>
          <w:tcPr>
            <w:tcW w:w="20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   历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2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毕业时间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是否师范类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教师资格证层次及学科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教师资格证编号</w:t>
            </w:r>
          </w:p>
        </w:tc>
        <w:tc>
          <w:tcPr>
            <w:tcW w:w="3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考生身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份类型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）应届毕业生（含2018年、2019年高校毕业生择业期未落实工作单位）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）历届毕业生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）服务期满三年未转为正式在编教师的特岗教师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（  ）原在编教师已辞职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1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华文楷体"/>
                <w:bCs/>
                <w:color w:val="000000"/>
                <w:sz w:val="20"/>
                <w:szCs w:val="20"/>
              </w:rPr>
              <w:t>诚信报考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华文楷体"/>
                <w:bCs/>
                <w:color w:val="000000"/>
                <w:sz w:val="20"/>
                <w:szCs w:val="20"/>
              </w:rPr>
              <w:t>承诺书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仿宋_GB2312" w:hAnsi="仿宋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0"/>
                <w:szCs w:val="20"/>
              </w:rPr>
              <w:t>诚信报考承诺书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ascii="仿宋_GB2312" w:hAnsi="仿宋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fldChar w:fldCharType="begin"/>
            </w:r>
            <w:r>
              <w:instrText xml:space="preserve">HYPERLINK "http://www.hteacher.net/zhaojiao/" \t "_blank"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" w:eastAsia="仿宋_GB2312"/>
                <w:bCs/>
                <w:color w:val="auto"/>
                <w:sz w:val="20"/>
                <w:szCs w:val="20"/>
              </w:rPr>
              <w:t>招聘</w:t>
            </w:r>
            <w:r>
              <w:fldChar w:fldCharType="end"/>
            </w: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岗位的全部</w:t>
            </w:r>
            <w:r>
              <w:fldChar w:fldCharType="begin"/>
            </w:r>
            <w:r>
              <w:instrText xml:space="preserve">HYPERLINK "http://www.hteacher.net/zige/" \t "_blank"</w:instrText>
            </w:r>
            <w:r>
              <w:fldChar w:fldCharType="separate"/>
            </w:r>
            <w:r>
              <w:rPr>
                <w:rStyle w:val="7"/>
                <w:rFonts w:hint="eastAsia" w:ascii="仿宋_GB2312" w:hAnsi="仿宋" w:eastAsia="仿宋_GB2312"/>
                <w:bCs/>
                <w:color w:val="auto"/>
                <w:sz w:val="20"/>
                <w:szCs w:val="20"/>
              </w:rPr>
              <w:t>资格</w:t>
            </w:r>
            <w:r>
              <w:fldChar w:fldCharType="end"/>
            </w: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承诺人（资格复审现场签字并按手印）：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9" w:hRule="atLeast"/>
          <w:jc w:val="center"/>
        </w:trPr>
        <w:tc>
          <w:tcPr>
            <w:tcW w:w="950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bCs/>
                <w:color w:val="000000"/>
                <w:sz w:val="20"/>
                <w:szCs w:val="20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color w:val="000000"/>
                <w:sz w:val="20"/>
                <w:szCs w:val="20"/>
              </w:rPr>
              <w:t>证件证明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color w:val="000000"/>
                <w:sz w:val="20"/>
                <w:szCs w:val="20"/>
              </w:rPr>
              <w:t>查验情况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身份证</w:t>
            </w: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毕业证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教育部学历正式电子注册备案表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国外学历学位认证书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教师资格证（“先上岗，再考证”不提供）</w:t>
            </w: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0"/>
                <w:szCs w:val="20"/>
              </w:rPr>
              <w:t>辞职批复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特岗同意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原  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复印件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资格审</w:t>
            </w:r>
          </w:p>
          <w:p>
            <w:pPr>
              <w:pStyle w:val="8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查意见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pStyle w:val="8"/>
              <w:jc w:val="righ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审查人签名：                  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备  注</w:t>
            </w:r>
          </w:p>
        </w:tc>
        <w:tc>
          <w:tcPr>
            <w:tcW w:w="629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编号：</w:t>
            </w:r>
          </w:p>
        </w:tc>
      </w:tr>
    </w:tbl>
    <w:p>
      <w:pPr>
        <w:spacing w:line="540" w:lineRule="exact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spacing w:line="460" w:lineRule="exact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附件3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专业技能测试说明</w:t>
      </w: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 xml:space="preserve">一、测试对象 </w:t>
      </w: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hd w:val="clear" w:color="auto" w:fill="FFFFFF"/>
        </w:rPr>
        <w:t>幼儿园职位考生，中小学音乐、体育、美术职位考生。</w:t>
      </w: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二、测试时间</w:t>
      </w:r>
    </w:p>
    <w:p>
      <w:pPr>
        <w:spacing w:line="520" w:lineRule="exact"/>
        <w:ind w:firstLine="700" w:firstLineChars="250"/>
        <w:jc w:val="left"/>
        <w:rPr>
          <w:rFonts w:hint="eastAsia" w:ascii="仿宋_GB2312" w:hAnsi="宋体" w:eastAsia="仿宋_GB2312"/>
          <w:sz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hd w:val="clear" w:color="auto" w:fill="FFFFFF"/>
        </w:rPr>
        <w:t>8月19日</w:t>
      </w:r>
    </w:p>
    <w:p>
      <w:pPr>
        <w:spacing w:line="520" w:lineRule="exact"/>
        <w:ind w:firstLine="600" w:firstLineChars="200"/>
        <w:jc w:val="left"/>
        <w:rPr>
          <w:rFonts w:hint="eastAsia" w:ascii="宋体" w:hAnsi="宋体"/>
          <w:sz w:val="28"/>
          <w:shd w:val="clear" w:color="auto" w:fill="FFFFFF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三、地点</w:t>
      </w:r>
    </w:p>
    <w:p>
      <w:pPr>
        <w:shd w:val="solid" w:color="FFFFFF" w:fill="auto"/>
        <w:autoSpaceDN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hd w:val="clear" w:color="auto" w:fill="FFFFFF"/>
        </w:rPr>
        <w:t>章贡中学（章江新区长岗路与濂江路交汇处）</w:t>
      </w:r>
    </w:p>
    <w:p>
      <w:pPr>
        <w:shd w:val="solid" w:color="FFFFFF" w:fill="auto"/>
        <w:autoSpaceDN w:val="0"/>
        <w:spacing w:line="520" w:lineRule="exact"/>
        <w:ind w:firstLine="600" w:firstLineChars="200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四、测试程序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1.抽签。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7:30-8:00，考生须持</w:t>
      </w:r>
      <w:r>
        <w:rPr>
          <w:rFonts w:hint="eastAsia" w:ascii="仿宋_GB2312" w:eastAsia="仿宋_GB2312"/>
          <w:b/>
          <w:sz w:val="32"/>
          <w:szCs w:val="32"/>
        </w:rPr>
        <w:t>有效身份证（护照、社保卡，均为原件）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到指定候考室进行封闭。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7:15开始扫码测温进入考点，7:30开始进入候考室，7:55截止进入考点，8:00截止进入候考室,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保卫人员开始清场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。未在规定时间内进入指定候考室进行封闭的，取消测试资格。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考生将手机关机，候考室工作人员收齐考生手机，并分信封装袋封好,写上考生考场和姓名，集中保管。之后组织考生抽取顺序号。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2.测试。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考生在评委（裁判）和工作人员指引下开始测试，记分员将测试成绩核对后，由考生确认并签名。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宋体" w:hAnsi="宋体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3.离场。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考生领回个人物品，离开考点。</w:t>
      </w:r>
    </w:p>
    <w:p>
      <w:pPr>
        <w:shd w:val="solid" w:color="FFFFFF" w:fill="auto"/>
        <w:autoSpaceDN w:val="0"/>
        <w:spacing w:line="520" w:lineRule="exact"/>
        <w:ind w:firstLine="600" w:firstLineChars="200"/>
        <w:rPr>
          <w:rFonts w:hint="eastAsia"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五、测试内容</w:t>
      </w:r>
    </w:p>
    <w:p>
      <w:pPr>
        <w:autoSpaceDN w:val="0"/>
        <w:spacing w:line="520" w:lineRule="exact"/>
        <w:ind w:firstLine="640" w:firstLineChars="200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（一）幼儿园职位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考场提供电钢琴。备考时间5分钟。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1.弹唱（60分）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：现场抽取章贡区现行小学中高段音乐课本中的一首歌曲，考生按原调、有伴奏进行弹唱。测试时间不超过3分钟。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2.讲故事（40分）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：自选故事内容，用普通话脱稿讲述，恰当运用身体语言和表情，测试时间不超过2分钟。</w:t>
      </w:r>
    </w:p>
    <w:p>
      <w:pPr>
        <w:autoSpaceDN w:val="0"/>
        <w:spacing w:line="520" w:lineRule="exact"/>
        <w:ind w:firstLine="640" w:firstLineChars="200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（二）小学音乐、初中音乐专业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考场提供钢琴。备考时间10分钟。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1.清唱（30分）：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自选一首歌曲独唱，测试时间不超过3分钟。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2.弹唱（40分）：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现场抽取章贡区现行小学音乐、初中音乐课本中的一首歌曲进行即兴（配）弹唱。测试时间不超过3分钟。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3.钢琴弹奏（30分）：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自选一首钢琴曲独奏，测试时间不超过4分钟。</w:t>
      </w:r>
    </w:p>
    <w:p>
      <w:pPr>
        <w:autoSpaceDN w:val="0"/>
        <w:spacing w:line="520" w:lineRule="exact"/>
        <w:ind w:firstLine="640" w:firstLineChars="200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（三）小学美术专业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考场提供用纸，画板、画笔、颜料等用具考生自备。测试时间3小时。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1.素描（50分）：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根据命题进行头像默写，具体命题临时确定。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2.色彩（50分）：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根据命题进行静物默写，具体命题临时确定。</w:t>
      </w:r>
    </w:p>
    <w:p>
      <w:pPr>
        <w:autoSpaceDN w:val="0"/>
        <w:spacing w:line="520" w:lineRule="exact"/>
        <w:ind w:firstLine="640" w:firstLineChars="200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（四）小学体育，初中体育与健康专业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1.篮球（50分）：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instrText xml:space="preserve"> = 1 \* GB3 \* MERGEFORMAT </w:instrTex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①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往返运球投篮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（满分30分，其中专项分25分，技评分5分）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A.测试方法：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由球场右侧边线中点开始，面向球篮以右手运球上篮，同时开始计时；球投中篮后，还以右手运至左侧边线中点，然后折转换左手运球上篮；投中篮后，还以左手运球回到原起点；往返二次，共投四次篮后，再回到原起点时停表（见图1）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B.要求：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连续运球，不得远推运球、两次运球和带球走；若投篮不中，必须补投至投中为止；投篮时不限制左右手。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instrText xml:space="preserve"> = 2 \* GB3 \* MERGEFORMAT </w:instrTex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②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投篮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（满分20分，其中专项分15分，技评分5分）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A.测试方法: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以篮圈投影中心为圆心，以该点至罚球线的距离为半径，划一圆弧。考生在弧线外投篮，并开始计时；投篮后自己抢篮板球，再运至弧线外再投篮，连续做一分钟，投篮方式不限。（见图2）</w:t>
      </w:r>
    </w:p>
    <w:p>
      <w:pPr>
        <w:shd w:val="solid" w:color="FFFFFF" w:fill="auto"/>
        <w:autoSpaceDN w:val="0"/>
        <w:spacing w:line="520" w:lineRule="exact"/>
        <w:jc w:val="center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 xml:space="preserve">    B.要求：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投篮时不得踏线或过线，不得带球跑，违者投中无效。</w:t>
      </w: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宋体" w:hAnsi="宋体"/>
          <w:sz w:val="28"/>
          <w:shd w:val="clear" w:color="auto" w:fill="FFFFFF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36195</wp:posOffset>
            </wp:positionV>
            <wp:extent cx="1895475" cy="2011045"/>
            <wp:effectExtent l="0" t="0" r="9525" b="8255"/>
            <wp:wrapNone/>
            <wp:docPr id="4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36195</wp:posOffset>
            </wp:positionV>
            <wp:extent cx="2171700" cy="2203450"/>
            <wp:effectExtent l="0" t="0" r="0" b="635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宋体" w:hAnsi="宋体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宋体" w:hAnsi="宋体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宋体" w:hAnsi="宋体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</w:p>
    <w:p>
      <w:pPr>
        <w:shd w:val="solid" w:color="FFFFFF" w:fill="auto"/>
        <w:autoSpaceDN w:val="0"/>
        <w:spacing w:line="720" w:lineRule="auto"/>
        <w:ind w:firstLine="600" w:firstLineChars="200"/>
        <w:jc w:val="center"/>
        <w:rPr>
          <w:rFonts w:hint="eastAsia" w:ascii="方正小标宋简体" w:hAnsi="宋体" w:eastAsia="方正小标宋简体"/>
          <w:sz w:val="28"/>
          <w:shd w:val="clear" w:color="auto" w:fill="FFFFFF"/>
        </w:rPr>
      </w:pPr>
      <w:r>
        <w:rPr>
          <w:rFonts w:ascii="仿宋_GB2312" w:hAnsi="宋体" w:eastAsia="仿宋_GB2312" w:cs="宋体"/>
          <w:bCs/>
          <w:kern w:val="0"/>
          <w:sz w:val="30"/>
          <w:szCs w:val="30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1.篮球专项评分表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46"/>
        <w:gridCol w:w="1450"/>
        <w:gridCol w:w="1445"/>
        <w:gridCol w:w="144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3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往返运球投篮</w:t>
            </w:r>
            <w:r>
              <w:rPr>
                <w:rFonts w:ascii="黑体" w:hAnsi="黑体" w:eastAsia="黑体"/>
                <w:kern w:val="0"/>
                <w:sz w:val="24"/>
              </w:rPr>
              <w:t>25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</w:t>
            </w:r>
          </w:p>
        </w:tc>
        <w:tc>
          <w:tcPr>
            <w:tcW w:w="43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投篮</w:t>
            </w:r>
            <w:r>
              <w:rPr>
                <w:rFonts w:ascii="黑体" w:hAnsi="黑体" w:eastAsia="黑体"/>
                <w:kern w:val="0"/>
                <w:sz w:val="24"/>
              </w:rPr>
              <w:t>15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女子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成绩（个）</w:t>
            </w: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≤</w:t>
            </w:r>
            <w:r>
              <w:rPr>
                <w:rFonts w:eastAsia="黑体"/>
                <w:kern w:val="0"/>
                <w:sz w:val="24"/>
              </w:rPr>
              <w:t>28.0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≤</w:t>
            </w:r>
            <w:r>
              <w:rPr>
                <w:rFonts w:eastAsia="黑体"/>
                <w:kern w:val="0"/>
                <w:sz w:val="24"/>
              </w:rPr>
              <w:t>35.0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≥</w:t>
            </w:r>
            <w:r>
              <w:rPr>
                <w:rFonts w:eastAsia="黑体"/>
                <w:kern w:val="0"/>
                <w:sz w:val="24"/>
              </w:rPr>
              <w:t>15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4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3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39.5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46.5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＞</w:t>
            </w:r>
            <w:r>
              <w:rPr>
                <w:kern w:val="0"/>
                <w:sz w:val="24"/>
              </w:rPr>
              <w:t>40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＞</w:t>
            </w:r>
            <w:r>
              <w:rPr>
                <w:kern w:val="0"/>
                <w:sz w:val="24"/>
              </w:rPr>
              <w:t>47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－</w:t>
            </w:r>
          </w:p>
        </w:tc>
      </w:tr>
    </w:tbl>
    <w:p>
      <w:pPr>
        <w:shd w:val="solid" w:color="FFFFFF" w:fill="auto"/>
        <w:autoSpaceDN w:val="0"/>
        <w:spacing w:line="460" w:lineRule="exact"/>
        <w:ind w:firstLine="140" w:firstLineChars="5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2.篮球技评评分表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187"/>
        <w:gridCol w:w="3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分值</w:t>
            </w:r>
          </w:p>
        </w:tc>
        <w:tc>
          <w:tcPr>
            <w:tcW w:w="817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26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jc w:val="center"/>
              <w:rPr>
                <w:rFonts w:hint="eastAsia" w:ascii="黑体" w:hAnsi="黑体" w:eastAsia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往返运球投篮5分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jc w:val="center"/>
              <w:rPr>
                <w:rFonts w:hint="eastAsia" w:ascii="黑体" w:hAnsi="黑体" w:eastAsia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18"/>
              </w:rPr>
              <w:t>投篮5分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4.5-5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动作正确、协调、熟练，能运用左、右手投篮，投篮一次投中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动作连贯、协调，手法正确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3.5-4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动作较正确、熟练，投篮一次投中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动作较连贯、协调，手法正确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2.5-3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动作基本正确、熟练，身体不够协调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动作基本连贯、协调，手法基本正确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2以下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动作不正确、不熟练、不协调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spacing w:line="260" w:lineRule="exact"/>
              <w:ind w:left="1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动作不连贯、不协调，手法不正确</w:t>
            </w:r>
          </w:p>
        </w:tc>
      </w:tr>
    </w:tbl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2.田径（50分）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instrText xml:space="preserve"> = 1 \* GB3 \* MERGEFORMAT </w:instrTex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①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100米跑（25分）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A.场地设备：按《田径竞赛规则》的有关规定设置场地。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B.测试要求：因场地原因，采用蹲踞式起跑，不使用起跑器，不得穿钉鞋。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C.测试方法：每位考生只有一次测试机会。计时以秒为单位，精确到十分之一秒。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instrText xml:space="preserve"> = 2 \* GB3 \* MERGEFORMAT </w:instrTex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②</w:t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/>
          <w:b/>
          <w:bCs/>
          <w:sz w:val="32"/>
          <w:szCs w:val="32"/>
          <w:shd w:val="clear" w:color="auto" w:fill="FFFFFF"/>
        </w:rPr>
        <w:t>立定跳远（25分）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A.场地设备：在同一水平面场地上进行。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B.测试要求：考生应在起跳线后起跳，身体任何部位不得触线，原地双脚起跳落地，动作完成后向前走出测试区。测试时只准穿平底运动鞋。</w:t>
      </w:r>
    </w:p>
    <w:p>
      <w:pPr>
        <w:shd w:val="solid" w:color="FFFFFF" w:fill="auto"/>
        <w:autoSpaceDN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C.测试方法：每人跳3次，以最佳成绩为考试成绩。</w:t>
      </w:r>
    </w:p>
    <w:p>
      <w:pPr>
        <w:spacing w:line="400" w:lineRule="exact"/>
        <w:ind w:left="1"/>
        <w:jc w:val="center"/>
        <w:textAlignment w:val="bottom"/>
        <w:rPr>
          <w:rFonts w:hint="eastAsia" w:ascii="方正小标宋简体" w:eastAsia="方正小标宋简体"/>
          <w:szCs w:val="21"/>
        </w:rPr>
      </w:pPr>
      <w:r>
        <w:rPr>
          <w:rFonts w:hint="eastAsia" w:ascii="黑体" w:eastAsia="黑体"/>
          <w:szCs w:val="21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3.100米评分表</w:t>
      </w:r>
    </w:p>
    <w:tbl>
      <w:tblPr>
        <w:tblStyle w:val="5"/>
        <w:tblpPr w:leftFromText="180" w:rightFromText="180" w:vertAnchor="text" w:horzAnchor="margin" w:tblpXSpec="center" w:tblpY="26"/>
        <w:tblW w:w="465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86"/>
        <w:gridCol w:w="1186"/>
        <w:gridCol w:w="1192"/>
        <w:gridCol w:w="1335"/>
        <w:gridCol w:w="1040"/>
        <w:gridCol w:w="1038"/>
        <w:gridCol w:w="1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572" w:type="pct"/>
            <w:gridSpan w:val="4"/>
            <w:tcBorders>
              <w:top w:val="single" w:color="auto" w:sz="8" w:space="0"/>
              <w:left w:val="single" w:color="auto" w:sz="8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女子</w:t>
            </w:r>
          </w:p>
        </w:tc>
        <w:tc>
          <w:tcPr>
            <w:tcW w:w="2427" w:type="pct"/>
            <w:gridSpan w:val="4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男子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28" w:type="pc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成绩（秒）</w:t>
            </w:r>
          </w:p>
        </w:tc>
        <w:tc>
          <w:tcPr>
            <w:tcW w:w="647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分值</w:t>
            </w:r>
          </w:p>
        </w:tc>
        <w:tc>
          <w:tcPr>
            <w:tcW w:w="647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成绩（秒）</w:t>
            </w:r>
          </w:p>
        </w:tc>
        <w:tc>
          <w:tcPr>
            <w:tcW w:w="650" w:type="pct"/>
            <w:tcBorders>
              <w:top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分值</w:t>
            </w:r>
          </w:p>
        </w:tc>
        <w:tc>
          <w:tcPr>
            <w:tcW w:w="728" w:type="pct"/>
            <w:tcBorders>
              <w:top w:val="single" w:color="auto" w:sz="8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成绩（秒）</w:t>
            </w:r>
          </w:p>
        </w:tc>
        <w:tc>
          <w:tcPr>
            <w:tcW w:w="567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分值</w:t>
            </w:r>
          </w:p>
        </w:tc>
        <w:tc>
          <w:tcPr>
            <w:tcW w:w="566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成绩（秒）</w:t>
            </w:r>
          </w:p>
        </w:tc>
        <w:tc>
          <w:tcPr>
            <w:tcW w:w="566" w:type="pc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≤13.4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25.00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15.7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9.08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≤11.3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25.00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13.6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7.53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13.5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24.15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15.8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8.57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11.4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24.03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13.7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7.00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13.6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23.33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15.9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8.07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11.5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23.10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13.8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6.48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13.7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22.48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16.0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7.57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11.6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22.17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13.9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5.98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13.8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21.68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16.1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7.10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11.7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21.27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14.0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5.50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13.9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20.88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16.2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6.63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11.8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20.37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14.1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5.03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14.0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20.12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16.3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6.18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11.9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19.50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14.2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4.60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14.1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19.35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16.4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5.75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12.0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18.65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14.3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4.17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14.2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18.60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16.5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5.33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12.1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17.82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14.4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3.77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14.3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17.87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16.6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4.93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12.2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17.00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14.5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3.37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14.4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17.15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16.7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4.53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12.3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16.20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14.6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3.00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14.5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16.43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16.8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4.17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12.4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15.43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14.7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2.65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14.6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15.75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16.9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3.80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12.5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14.67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14.8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2.32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14.7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15.07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17.0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3.47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12.6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13.93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14.9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2.00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14.8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14.40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17.1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3.13 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12.7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13.20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15.0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1.70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14.9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13.75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17.2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2.79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12.8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12.50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15.1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15.0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13.12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17.3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2.45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12.9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11.82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15.2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15.1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12.50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17.4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2.11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13.0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11.15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&gt;15.2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15.2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11.90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17.5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1.77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13.1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10.50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15.3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11.30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17.6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1.43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13.2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9.87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15.4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10.73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17.7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1.09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13.3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9.27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15.5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10.17 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&gt;17.7</w:t>
            </w: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0</w:t>
            </w: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13.4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8.67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8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15.6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ascii="宋体" w:hAnsi="宋体"/>
                <w:sz w:val="20"/>
              </w:rPr>
              <w:t xml:space="preserve">9.62 </w:t>
            </w:r>
          </w:p>
        </w:tc>
        <w:tc>
          <w:tcPr>
            <w:tcW w:w="647" w:type="pct"/>
            <w:noWrap w:val="0"/>
            <w:vAlign w:val="top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50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/>
                <w:kern w:val="0"/>
                <w:sz w:val="20"/>
                <w:szCs w:val="18"/>
              </w:rPr>
            </w:pPr>
          </w:p>
        </w:tc>
        <w:tc>
          <w:tcPr>
            <w:tcW w:w="728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13.5</w:t>
            </w:r>
          </w:p>
        </w:tc>
        <w:tc>
          <w:tcPr>
            <w:tcW w:w="567" w:type="pc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 xml:space="preserve">8.10 </w:t>
            </w: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  <w:tc>
          <w:tcPr>
            <w:tcW w:w="566" w:type="pct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kern w:val="0"/>
                <w:sz w:val="20"/>
                <w:szCs w:val="18"/>
              </w:rPr>
            </w:pPr>
          </w:p>
        </w:tc>
      </w:tr>
    </w:tbl>
    <w:p>
      <w:pPr>
        <w:spacing w:line="240" w:lineRule="atLeast"/>
        <w:rPr>
          <w:rFonts w:hint="eastAsia" w:ascii="宋体" w:hAnsi="宋体"/>
          <w:sz w:val="28"/>
          <w:shd w:val="clear" w:color="auto" w:fill="FFFFFF"/>
        </w:rPr>
      </w:pPr>
    </w:p>
    <w:p>
      <w:pPr>
        <w:spacing w:line="240" w:lineRule="atLeast"/>
        <w:jc w:val="center"/>
        <w:rPr>
          <w:rFonts w:hint="eastAsia" w:ascii="方正小标宋简体" w:eastAsia="方正小标宋简体"/>
          <w:sz w:val="32"/>
          <w:szCs w:val="21"/>
        </w:rPr>
      </w:pPr>
      <w:r>
        <w:rPr>
          <w:rFonts w:hint="eastAsia" w:ascii="方正小标宋简体" w:eastAsia="方正小标宋简体"/>
          <w:sz w:val="28"/>
          <w:szCs w:val="28"/>
        </w:rPr>
        <w:t>4.立定跳远评分表</w:t>
      </w:r>
    </w:p>
    <w:tbl>
      <w:tblPr>
        <w:tblStyle w:val="5"/>
        <w:tblW w:w="96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18"/>
        <w:gridCol w:w="977"/>
        <w:gridCol w:w="838"/>
        <w:gridCol w:w="1116"/>
        <w:gridCol w:w="838"/>
        <w:gridCol w:w="977"/>
        <w:gridCol w:w="977"/>
        <w:gridCol w:w="978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ahoma"/>
                <w:kern w:val="0"/>
                <w:sz w:val="15"/>
                <w:szCs w:val="18"/>
              </w:rPr>
            </w:pPr>
            <w:r>
              <w:rPr>
                <w:rFonts w:hint="eastAsia" w:ascii="黑体" w:hAnsi="黑体" w:eastAsia="黑体" w:cs="Tahoma"/>
                <w:kern w:val="0"/>
                <w:sz w:val="15"/>
                <w:szCs w:val="18"/>
              </w:rPr>
              <w:t>男子</w:t>
            </w:r>
          </w:p>
        </w:tc>
        <w:tc>
          <w:tcPr>
            <w:tcW w:w="6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女子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成绩（厘米）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≥</w:t>
            </w:r>
            <w:r>
              <w:rPr>
                <w:kern w:val="0"/>
                <w:sz w:val="15"/>
                <w:szCs w:val="18"/>
              </w:rPr>
              <w:t>288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≥</w:t>
            </w:r>
            <w:r>
              <w:rPr>
                <w:kern w:val="0"/>
                <w:sz w:val="15"/>
                <w:szCs w:val="18"/>
              </w:rPr>
              <w:t>245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10.35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24.4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8.72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24.45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10.08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23.93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8.43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24.02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23.45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8.15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23.6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9.53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7.87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23.18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9.27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159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22.53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7.6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22.78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&lt;159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22.07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7.33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22.37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8.73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21.62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7.07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21.97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8.48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6.82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21.57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8.23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20.73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6.57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21.17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7.98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20.28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6.32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20.77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7.73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19.85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6.07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20.38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7.48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19.43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5.83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7.25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5.6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19.62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7.02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18.58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5.37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19.23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190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5.15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18.85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6.65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17.75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4.92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6.33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17.35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230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4.6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18.12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6.12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270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16.95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17.75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16.55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4.28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5.68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16.17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4.08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17.03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5.47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15.77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3.9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16.67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5.27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15.38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16.33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5.05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3.52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4.87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3.33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4.67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3.15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15.3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4.47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2.98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14.97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4.28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13.55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2.82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4.1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2.65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14.3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3.92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12.83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2.48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13.98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3.73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2.33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13.65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3.57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2.18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13.33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11.82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2.03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13.02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3.23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11.48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1.9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12.72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3.07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1.77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10.83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1.64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12.1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2.73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10.52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1.51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2.56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1.38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2.39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1.25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11.22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2.22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1.12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10.92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2.05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248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9.3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&lt;208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205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10.63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5"/>
                <w:szCs w:val="18"/>
              </w:rPr>
            </w:pPr>
            <w:r>
              <w:rPr>
                <w:kern w:val="0"/>
                <w:sz w:val="15"/>
                <w:szCs w:val="18"/>
              </w:rPr>
              <w:t>164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15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5"/>
                <w:szCs w:val="18"/>
              </w:rPr>
              <w:t>1.88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15"/>
                <w:szCs w:val="18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rPr>
          <w:rFonts w:hint="eastAsia" w:ascii="黑体" w:hAnsi="黑体" w:eastAsia="黑体"/>
          <w:sz w:val="28"/>
          <w:shd w:val="clear" w:color="auto" w:fill="FFFFFF"/>
        </w:rPr>
      </w:pPr>
      <w:r>
        <w:rPr>
          <w:rFonts w:hint="eastAsia" w:ascii="黑体" w:hAnsi="黑体" w:eastAsia="黑体"/>
          <w:sz w:val="28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kern w:val="36"/>
          <w:sz w:val="44"/>
          <w:szCs w:val="36"/>
        </w:rPr>
        <w:t>“</w:t>
      </w:r>
      <w:r>
        <w:rPr>
          <w:rFonts w:ascii="方正小标宋简体" w:hAnsi="华文中宋" w:eastAsia="方正小标宋简体" w:cs="宋体"/>
          <w:kern w:val="36"/>
          <w:sz w:val="44"/>
          <w:szCs w:val="36"/>
        </w:rPr>
        <w:t>赣州通行码”“通信大数据行程卡”</w: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扫描“赣州通行码”（图1）登记相关信息</w:t>
      </w:r>
      <w:r>
        <w:rPr>
          <w:rFonts w:hint="eastAsia" w:ascii="仿宋_GB2312" w:hAnsi="宋体" w:eastAsia="仿宋_GB2312" w:cs="宋体"/>
          <w:sz w:val="32"/>
          <w:szCs w:val="32"/>
        </w:rPr>
        <w:t>，绿码可通行</w:t>
      </w:r>
      <w:r>
        <w:rPr>
          <w:rFonts w:ascii="仿宋_GB2312" w:hAnsi="宋体" w:eastAsia="仿宋_GB2312" w:cs="宋体"/>
          <w:sz w:val="32"/>
          <w:szCs w:val="32"/>
        </w:rPr>
        <w:t>（若曾在支付宝申领过赣通码，则打开支付宝-赣通码</w:t>
      </w:r>
      <w:r>
        <w:rPr>
          <w:rFonts w:hint="eastAsia" w:ascii="仿宋_GB2312" w:hAnsi="宋体" w:eastAsia="仿宋_GB2312" w:cs="宋体"/>
          <w:sz w:val="32"/>
          <w:szCs w:val="32"/>
        </w:rPr>
        <w:t>-</w:t>
      </w:r>
      <w:r>
        <w:rPr>
          <w:rFonts w:ascii="仿宋_GB2312" w:hAnsi="宋体" w:eastAsia="仿宋_GB2312" w:cs="宋体"/>
          <w:sz w:val="32"/>
          <w:szCs w:val="32"/>
        </w:rPr>
        <w:t>我的赣通码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ascii="仿宋_GB2312" w:hAnsi="宋体" w:eastAsia="仿宋_GB2312" w:cs="宋体"/>
          <w:sz w:val="32"/>
          <w:szCs w:val="32"/>
        </w:rPr>
        <w:t>出示绿码也可通行），扫“通信大数据行程卡”（图2）查验行程轨迹。</w:t>
      </w:r>
    </w:p>
    <w:p>
      <w:pPr>
        <w:pStyle w:val="4"/>
        <w:shd w:val="clear" w:color="auto" w:fill="FFFFFF"/>
        <w:spacing w:before="0" w:beforeAutospacing="0" w:after="300" w:afterAutospacing="0" w:line="241" w:lineRule="atLeast"/>
        <w:jc w:val="center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96520</wp:posOffset>
            </wp:positionV>
            <wp:extent cx="2006600" cy="1953260"/>
            <wp:effectExtent l="0" t="0" r="12700" b="8890"/>
            <wp:wrapNone/>
            <wp:docPr id="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2"/>
          <w:szCs w:val="22"/>
          <w:shd w:val="clear" w:color="auto" w:fill="FFFFFF"/>
        </w:rPr>
        <w:br w:type="textWrapping"/>
      </w:r>
      <w:r>
        <w:rPr>
          <w:rFonts w:hint="eastAsia"/>
          <w:sz w:val="28"/>
          <w:szCs w:val="28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both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  <w:r>
        <w:rPr>
          <w:rFonts w:hint="eastAsia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347345</wp:posOffset>
            </wp:positionV>
            <wp:extent cx="2994660" cy="3007360"/>
            <wp:effectExtent l="0" t="0" r="15240" b="2540"/>
            <wp:wrapNone/>
            <wp:docPr id="2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图1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赣州通行码（已对接赣通码）</w:t>
      </w: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图2</w:t>
      </w: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sz w:val="28"/>
          <w:szCs w:val="28"/>
          <w:shd w:val="clear" w:color="auto" w:fill="FFFFFF"/>
        </w:rPr>
        <w:t>通信大数据行程卡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993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221B0"/>
    <w:rsid w:val="269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http://www.huaue.com/img2010/010030305.jpg" TargetMode="Externa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2020-08-10T09:25:00Z</dcterms:created>
  <dc:creator>南云山主人</dc:creator>
  <cp:lastModifiedBy>南云山主人</cp:lastModifiedBy>
  <dcterms:modified xsi:type="dcterms:W3CDTF">2020-08-10T09:25:58Z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