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Pr="00CC1628" w:rsidRDefault="006F04F7" w:rsidP="0010539E">
      <w:pPr>
        <w:spacing w:line="560" w:lineRule="exact"/>
        <w:rPr>
          <w:rFonts w:ascii="黑体" w:eastAsia="黑体" w:hAnsi="黑体" w:cs="仿宋_GB2312"/>
          <w:b/>
          <w:bCs/>
          <w:color w:val="000000"/>
          <w:sz w:val="32"/>
          <w:szCs w:val="32"/>
        </w:rPr>
      </w:pPr>
      <w:r w:rsidRPr="00CC1628">
        <w:rPr>
          <w:rFonts w:ascii="黑体" w:eastAsia="黑体" w:hAnsi="黑体" w:cs="仿宋_GB2312" w:hint="eastAsia"/>
          <w:b/>
          <w:bCs/>
          <w:color w:val="000000"/>
          <w:sz w:val="32"/>
          <w:szCs w:val="32"/>
        </w:rPr>
        <w:t>附件</w:t>
      </w:r>
      <w:r w:rsidR="00785211" w:rsidRPr="00CC1628">
        <w:rPr>
          <w:rFonts w:ascii="黑体" w:eastAsia="黑体" w:hAnsi="黑体" w:cs="仿宋_GB2312" w:hint="eastAsia"/>
          <w:b/>
          <w:bCs/>
          <w:color w:val="000000"/>
          <w:sz w:val="32"/>
          <w:szCs w:val="32"/>
        </w:rPr>
        <w:t>1</w:t>
      </w:r>
    </w:p>
    <w:p w:rsidR="00785211" w:rsidRPr="00CC1628" w:rsidRDefault="00785211" w:rsidP="0010539E">
      <w:pPr>
        <w:spacing w:line="560" w:lineRule="exact"/>
        <w:rPr>
          <w:rFonts w:ascii="方正小标宋简体" w:eastAsia="方正小标宋简体" w:hAnsi="仿宋" w:cs="仿宋_GB2312"/>
          <w:b/>
          <w:bCs/>
          <w:color w:val="000000"/>
          <w:sz w:val="32"/>
          <w:szCs w:val="32"/>
        </w:rPr>
      </w:pPr>
    </w:p>
    <w:p w:rsidR="0068152F" w:rsidRPr="00CC1628" w:rsidRDefault="006F04F7" w:rsidP="0010539E">
      <w:pPr>
        <w:spacing w:line="560" w:lineRule="exact"/>
        <w:jc w:val="center"/>
        <w:rPr>
          <w:rFonts w:ascii="方正小标宋简体" w:eastAsia="方正小标宋简体" w:hAnsi="仿宋" w:cs="仿宋_GB2312"/>
          <w:b/>
          <w:bCs/>
          <w:color w:val="000000"/>
          <w:sz w:val="44"/>
          <w:szCs w:val="44"/>
        </w:rPr>
      </w:pPr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44"/>
          <w:szCs w:val="44"/>
        </w:rPr>
        <w:t>岗位职责</w:t>
      </w:r>
    </w:p>
    <w:p w:rsidR="0068152F" w:rsidRPr="00CC1628" w:rsidRDefault="0068152F" w:rsidP="0010539E">
      <w:pPr>
        <w:spacing w:line="560" w:lineRule="exact"/>
        <w:jc w:val="center"/>
        <w:rPr>
          <w:rFonts w:ascii="方正小标宋简体" w:eastAsia="方正小标宋简体" w:hAnsi="仿宋" w:cs="仿宋_GB2312"/>
          <w:b/>
          <w:bCs/>
          <w:color w:val="000000"/>
          <w:sz w:val="32"/>
          <w:szCs w:val="32"/>
        </w:rPr>
      </w:pPr>
    </w:p>
    <w:p w:rsidR="0068152F" w:rsidRPr="00CC1628" w:rsidRDefault="0010539E" w:rsidP="0010539E">
      <w:pPr>
        <w:numPr>
          <w:ilvl w:val="0"/>
          <w:numId w:val="1"/>
        </w:numPr>
        <w:spacing w:line="560" w:lineRule="exact"/>
        <w:ind w:firstLineChars="200" w:firstLine="603"/>
        <w:jc w:val="center"/>
        <w:rPr>
          <w:rFonts w:ascii="方正小标宋简体" w:eastAsia="方正小标宋简体" w:hAnsi="仿宋" w:cs="仿宋_GB2312"/>
          <w:b/>
          <w:bCs/>
          <w:color w:val="000000"/>
          <w:sz w:val="32"/>
          <w:szCs w:val="32"/>
        </w:rPr>
      </w:pPr>
      <w:hyperlink r:id="rId7" w:tgtFrame="https://www.baidu.com/_blank" w:history="1">
        <w:r w:rsidR="006F04F7" w:rsidRPr="00CC1628">
          <w:rPr>
            <w:rFonts w:ascii="方正小标宋简体" w:eastAsia="方正小标宋简体" w:hAnsi="仿宋" w:cs="仿宋_GB2312"/>
            <w:b/>
            <w:bCs/>
            <w:color w:val="000000"/>
            <w:sz w:val="32"/>
            <w:szCs w:val="32"/>
          </w:rPr>
          <w:t>凉山州</w:t>
        </w:r>
        <w:proofErr w:type="gramStart"/>
        <w:r w:rsidR="006F04F7" w:rsidRPr="00CC1628">
          <w:rPr>
            <w:rFonts w:ascii="方正小标宋简体" w:eastAsia="方正小标宋简体" w:hAnsi="仿宋" w:cs="仿宋_GB2312"/>
            <w:b/>
            <w:bCs/>
            <w:color w:val="000000"/>
            <w:sz w:val="32"/>
            <w:szCs w:val="32"/>
          </w:rPr>
          <w:t>文旅投资</w:t>
        </w:r>
        <w:proofErr w:type="gramEnd"/>
        <w:r w:rsidR="006F04F7" w:rsidRPr="00CC1628">
          <w:rPr>
            <w:rFonts w:ascii="方正小标宋简体" w:eastAsia="方正小标宋简体" w:hAnsi="仿宋" w:cs="仿宋_GB2312"/>
            <w:b/>
            <w:bCs/>
            <w:color w:val="000000"/>
            <w:sz w:val="32"/>
            <w:szCs w:val="32"/>
          </w:rPr>
          <w:t>发展集团有限责任公司</w:t>
        </w:r>
      </w:hyperlink>
      <w:r w:rsidR="006F04F7"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总经理岗位职责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对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董事会负责，全面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主持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集团生产经营管理工作；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接受党委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的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领导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和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监事会监督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召集主持集团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总经理办公会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，引领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督导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各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二、三级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企业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；组织实施董事会决议和决定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提升完善现代企业管理制度；持续建设提升集团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产业体系和市场体系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精准把握市场需求和目标客群，有效实现产能建设、产品制造和商业营销，保证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各企业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目标市场份额提升；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持续培育自主品牌，保证品牌影响力价值提升；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科学推进投融资，保证资金高效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运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转和资本良性扩展；优化人财物管理，提升企业运营效能；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实施人才整合利用和社会化合作，推动新思维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新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模式新科技及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新工艺新材料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实践，保证集团创新创造力；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有效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沟通协调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和控制，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保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证团队整体协作一致、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公关关系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和谐支持；</w:t>
      </w:r>
    </w:p>
    <w:p w:rsidR="0068152F" w:rsidRPr="00CC1628" w:rsidRDefault="006F04F7" w:rsidP="0010539E">
      <w:pPr>
        <w:numPr>
          <w:ilvl w:val="0"/>
          <w:numId w:val="2"/>
        </w:num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保证安全生产，确保产能提升和利润实现，确保国有资产保值增值。</w:t>
      </w:r>
    </w:p>
    <w:p w:rsidR="0068152F" w:rsidRPr="00CC1628" w:rsidRDefault="006F04F7" w:rsidP="0010539E">
      <w:pPr>
        <w:numPr>
          <w:ilvl w:val="0"/>
          <w:numId w:val="1"/>
        </w:numPr>
        <w:spacing w:line="560" w:lineRule="exact"/>
        <w:ind w:firstLineChars="200" w:firstLine="606"/>
        <w:jc w:val="center"/>
        <w:rPr>
          <w:rFonts w:ascii="方正小标宋简体" w:eastAsia="方正小标宋简体" w:hAnsi="仿宋" w:cs="仿宋_GB2312"/>
          <w:b/>
          <w:bCs/>
          <w:color w:val="000000"/>
          <w:sz w:val="32"/>
          <w:szCs w:val="32"/>
        </w:rPr>
      </w:pPr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凉山州发展(控股)集团有限责任公司副总经理岗位职责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（一）协助</w:t>
      </w:r>
      <w:r w:rsidRPr="00CC1628">
        <w:rPr>
          <w:rFonts w:ascii="仿宋_GB2312" w:eastAsia="仿宋_GB2312" w:hAnsi="仿宋" w:cs="仿宋_GB2312"/>
          <w:b/>
          <w:bCs/>
          <w:sz w:val="32"/>
          <w:szCs w:val="32"/>
        </w:rPr>
        <w:t>总经理分管投、融资工作</w:t>
      </w: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/>
          <w:b/>
          <w:sz w:val="32"/>
          <w:szCs w:val="32"/>
        </w:rPr>
      </w:pPr>
      <w:r w:rsidRPr="00CC1628">
        <w:rPr>
          <w:rFonts w:ascii="仿宋_GB2312" w:eastAsia="仿宋_GB2312" w:hAnsi="仿宋" w:cs="仿宋_GB2312" w:hint="eastAsia"/>
          <w:b/>
          <w:bCs/>
          <w:sz w:val="32"/>
          <w:szCs w:val="32"/>
        </w:rPr>
        <w:t>（二）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负责集团资本</w:t>
      </w:r>
      <w:r w:rsidRPr="00CC1628">
        <w:rPr>
          <w:rFonts w:ascii="仿宋_GB2312" w:eastAsia="仿宋_GB2312" w:hAnsi="微软雅黑"/>
          <w:b/>
          <w:sz w:val="32"/>
          <w:szCs w:val="32"/>
        </w:rPr>
        <w:t>运营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、各项目在投资、融资领域业务的日常管理工作及债务</w:t>
      </w:r>
      <w:r w:rsidRPr="00CC1628">
        <w:rPr>
          <w:rFonts w:ascii="仿宋_GB2312" w:eastAsia="仿宋_GB2312" w:hAnsi="微软雅黑"/>
          <w:b/>
          <w:sz w:val="32"/>
          <w:szCs w:val="32"/>
        </w:rPr>
        <w:t>风险化解工作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，</w:t>
      </w:r>
      <w:r w:rsidRPr="00CC1628">
        <w:rPr>
          <w:rFonts w:ascii="仿宋_GB2312" w:eastAsia="仿宋_GB2312" w:hAnsi="微软雅黑"/>
          <w:b/>
          <w:sz w:val="32"/>
          <w:szCs w:val="32"/>
        </w:rPr>
        <w:t>完成公司还款任务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 w:cs="Tahoma"/>
          <w:b/>
          <w:sz w:val="32"/>
          <w:szCs w:val="32"/>
        </w:rPr>
      </w:pPr>
      <w:r w:rsidRPr="00CC1628">
        <w:rPr>
          <w:rFonts w:ascii="仿宋_GB2312" w:eastAsia="仿宋_GB2312" w:hAnsi="微软雅黑" w:hint="eastAsia"/>
          <w:b/>
          <w:sz w:val="32"/>
          <w:szCs w:val="32"/>
        </w:rPr>
        <w:t>（三）</w:t>
      </w:r>
      <w:r w:rsidRPr="00CC1628">
        <w:rPr>
          <w:rFonts w:ascii="仿宋_GB2312" w:eastAsia="仿宋_GB2312" w:hAnsi="微软雅黑" w:cs="Tahoma" w:hint="eastAsia"/>
          <w:b/>
          <w:sz w:val="32"/>
          <w:szCs w:val="32"/>
        </w:rPr>
        <w:t>研究分析国内外投融资行业的宏观经济政策及行业发展趋势，掌握行业动态，并定期提供分析报告，为公司的战略决策提供支持；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/>
          <w:b/>
          <w:sz w:val="32"/>
          <w:szCs w:val="32"/>
        </w:rPr>
      </w:pPr>
      <w:r w:rsidRPr="00CC1628">
        <w:rPr>
          <w:rFonts w:ascii="仿宋_GB2312" w:eastAsia="仿宋_GB2312" w:hAnsi="微软雅黑" w:hint="eastAsia"/>
          <w:b/>
          <w:sz w:val="32"/>
          <w:szCs w:val="32"/>
        </w:rPr>
        <w:t>（四）制订公司年度投融资计划，根据公司战略发展需要，适时选择合适的投融资方案；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/>
          <w:b/>
          <w:sz w:val="32"/>
          <w:szCs w:val="32"/>
        </w:rPr>
      </w:pPr>
      <w:r w:rsidRPr="00CC1628">
        <w:rPr>
          <w:rFonts w:ascii="仿宋_GB2312" w:eastAsia="仿宋_GB2312" w:hAnsi="微软雅黑" w:hint="eastAsia"/>
          <w:b/>
          <w:sz w:val="32"/>
          <w:szCs w:val="32"/>
        </w:rPr>
        <w:t>（五）负责公司与银行等金融机构联系，寻找并引入融资资本，全面规划融资项目；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/>
          <w:b/>
          <w:sz w:val="32"/>
          <w:szCs w:val="32"/>
        </w:rPr>
      </w:pPr>
      <w:r w:rsidRPr="00CC1628">
        <w:rPr>
          <w:rFonts w:ascii="仿宋_GB2312" w:eastAsia="仿宋_GB2312" w:hAnsi="微软雅黑" w:hint="eastAsia"/>
          <w:b/>
          <w:sz w:val="32"/>
          <w:szCs w:val="32"/>
        </w:rPr>
        <w:t>（六）根据集团融资和管理要求，帮助和指导本</w:t>
      </w:r>
      <w:r w:rsidRPr="00CC1628">
        <w:rPr>
          <w:rFonts w:ascii="仿宋_GB2312" w:eastAsia="仿宋_GB2312" w:hAnsi="微软雅黑"/>
          <w:b/>
          <w:sz w:val="32"/>
          <w:szCs w:val="32"/>
        </w:rPr>
        <w:t>部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及</w:t>
      </w:r>
      <w:r w:rsidRPr="00CC1628">
        <w:rPr>
          <w:rFonts w:ascii="仿宋_GB2312" w:eastAsia="仿宋_GB2312" w:hAnsi="微软雅黑"/>
          <w:b/>
          <w:sz w:val="32"/>
          <w:szCs w:val="32"/>
        </w:rPr>
        <w:t>下属</w:t>
      </w:r>
      <w:r w:rsidRPr="00CC1628">
        <w:rPr>
          <w:rFonts w:ascii="仿宋_GB2312" w:eastAsia="仿宋_GB2312" w:hAnsi="微软雅黑" w:hint="eastAsia"/>
          <w:b/>
          <w:sz w:val="32"/>
          <w:szCs w:val="32"/>
        </w:rPr>
        <w:t>企业制定正确的融资规划，对下属企业提供及时有效地支持和辅导；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 w:cs="Tahoma"/>
          <w:b/>
          <w:sz w:val="32"/>
          <w:szCs w:val="32"/>
        </w:rPr>
      </w:pPr>
      <w:r w:rsidRPr="00CC1628">
        <w:rPr>
          <w:rFonts w:ascii="仿宋_GB2312" w:eastAsia="仿宋_GB2312" w:hAnsi="微软雅黑" w:cs="Tahoma" w:hint="eastAsia"/>
          <w:b/>
          <w:sz w:val="32"/>
          <w:szCs w:val="32"/>
        </w:rPr>
        <w:t>（七）负责投资项目的洽谈、考察，投资模式设计与评估，项目投资价值分析及可行性风险分析，投资企业的估值及回报分析工作，对公司</w:t>
      </w:r>
      <w:proofErr w:type="gramStart"/>
      <w:r w:rsidRPr="00CC1628">
        <w:rPr>
          <w:rFonts w:ascii="仿宋_GB2312" w:eastAsia="仿宋_GB2312" w:hAnsi="微软雅黑" w:cs="Tahoma" w:hint="eastAsia"/>
          <w:b/>
          <w:sz w:val="32"/>
          <w:szCs w:val="32"/>
        </w:rPr>
        <w:t>潜在项目</w:t>
      </w:r>
      <w:proofErr w:type="gramEnd"/>
      <w:r w:rsidRPr="00CC1628">
        <w:rPr>
          <w:rFonts w:ascii="仿宋_GB2312" w:eastAsia="仿宋_GB2312" w:hAnsi="微软雅黑" w:cs="Tahoma" w:hint="eastAsia"/>
          <w:b/>
          <w:sz w:val="32"/>
          <w:szCs w:val="32"/>
        </w:rPr>
        <w:t>投资制作可行性研究报告；</w:t>
      </w:r>
    </w:p>
    <w:p w:rsidR="0068152F" w:rsidRPr="00CC1628" w:rsidRDefault="006F04F7" w:rsidP="0010539E">
      <w:pPr>
        <w:spacing w:line="560" w:lineRule="exact"/>
        <w:ind w:firstLineChars="200" w:firstLine="606"/>
        <w:rPr>
          <w:rFonts w:ascii="仿宋_GB2312" w:eastAsia="仿宋_GB2312" w:hAnsi="微软雅黑" w:cs="Tahoma"/>
          <w:b/>
          <w:sz w:val="32"/>
          <w:szCs w:val="32"/>
        </w:rPr>
      </w:pPr>
      <w:r w:rsidRPr="00CC1628">
        <w:rPr>
          <w:rFonts w:ascii="仿宋_GB2312" w:eastAsia="仿宋_GB2312" w:hAnsi="微软雅黑" w:cs="Tahoma" w:hint="eastAsia"/>
          <w:b/>
          <w:sz w:val="32"/>
          <w:szCs w:val="32"/>
        </w:rPr>
        <w:t>（八）负责跟进投资项目的谈判与实施，确定投资模式，确保公司审核通过的投资方案如期运营。</w:t>
      </w:r>
    </w:p>
    <w:p w:rsidR="00CC1628" w:rsidRPr="00CC1628" w:rsidRDefault="00CC1628" w:rsidP="0010539E">
      <w:pPr>
        <w:numPr>
          <w:ilvl w:val="0"/>
          <w:numId w:val="1"/>
        </w:numPr>
        <w:spacing w:line="560" w:lineRule="exact"/>
        <w:ind w:firstLine="606"/>
        <w:jc w:val="center"/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</w:pPr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凉山</w:t>
      </w:r>
      <w:proofErr w:type="gramStart"/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州国有</w:t>
      </w:r>
      <w:proofErr w:type="gramEnd"/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城市建设投资发展集团有限责任公司</w:t>
      </w:r>
      <w:r w:rsidR="006F04F7"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副总经</w:t>
      </w:r>
    </w:p>
    <w:p w:rsidR="0068152F" w:rsidRPr="00CC1628" w:rsidRDefault="006F04F7" w:rsidP="0010539E">
      <w:pPr>
        <w:spacing w:line="560" w:lineRule="exact"/>
        <w:rPr>
          <w:rFonts w:ascii="方正小标宋简体" w:eastAsia="方正小标宋简体" w:hAnsi="仿宋" w:cs="仿宋_GB2312"/>
          <w:b/>
          <w:bCs/>
          <w:color w:val="000000"/>
          <w:sz w:val="32"/>
          <w:szCs w:val="32"/>
        </w:rPr>
      </w:pPr>
      <w:proofErr w:type="gramStart"/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理岗位</w:t>
      </w:r>
      <w:proofErr w:type="gramEnd"/>
      <w:r w:rsidRPr="00CC1628">
        <w:rPr>
          <w:rFonts w:ascii="方正小标宋简体" w:eastAsia="方正小标宋简体" w:hAnsi="仿宋" w:cs="仿宋_GB2312" w:hint="eastAsia"/>
          <w:b/>
          <w:bCs/>
          <w:color w:val="000000"/>
          <w:sz w:val="32"/>
          <w:szCs w:val="32"/>
        </w:rPr>
        <w:t>职责</w:t>
      </w:r>
    </w:p>
    <w:p w:rsidR="0068152F" w:rsidRPr="00CC1628" w:rsidRDefault="006F04F7" w:rsidP="0010539E">
      <w:pPr>
        <w:pStyle w:val="a7"/>
        <w:widowControl/>
        <w:spacing w:beforeAutospacing="0" w:afterAutospacing="0" w:line="560" w:lineRule="exact"/>
        <w:ind w:firstLineChars="200" w:firstLine="606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t>（一）协助总经理分管项目管理与规划工作；</w:t>
      </w:r>
    </w:p>
    <w:p w:rsidR="0068152F" w:rsidRPr="00CC1628" w:rsidRDefault="006F04F7" w:rsidP="0010539E">
      <w:pPr>
        <w:pStyle w:val="a7"/>
        <w:widowControl/>
        <w:spacing w:beforeAutospacing="0" w:afterAutospacing="0" w:line="560" w:lineRule="exact"/>
        <w:ind w:firstLine="645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t>（二）参与制定并组织实施项目建设的发展规划和年度工作计划；</w:t>
      </w:r>
    </w:p>
    <w:p w:rsidR="0068152F" w:rsidRPr="00CC1628" w:rsidRDefault="006F04F7" w:rsidP="0010539E">
      <w:pPr>
        <w:pStyle w:val="a7"/>
        <w:widowControl/>
        <w:spacing w:beforeAutospacing="0" w:afterAutospacing="0" w:line="560" w:lineRule="exact"/>
        <w:ind w:firstLine="645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t>（三）全面负责合同项目的履约和实施工作；</w:t>
      </w:r>
    </w:p>
    <w:p w:rsidR="0068152F" w:rsidRPr="00CC1628" w:rsidRDefault="006F04F7" w:rsidP="0010539E">
      <w:pPr>
        <w:pStyle w:val="a7"/>
        <w:widowControl/>
        <w:spacing w:beforeAutospacing="0" w:afterAutospacing="0" w:line="560" w:lineRule="exact"/>
        <w:ind w:firstLine="645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lastRenderedPageBreak/>
        <w:t>（四）全面负责集团公司下属各工程期间整体运作，组织项目工程图纸审核、工程技术管理，解决工程技术问题，对在建工程提出建设性意见，并对项目的技术管理、质量管理、进度管理工作全面负责；</w:t>
      </w:r>
    </w:p>
    <w:p w:rsidR="0068152F" w:rsidRPr="00CC1628" w:rsidRDefault="006F04F7" w:rsidP="0010539E">
      <w:pPr>
        <w:widowControl/>
        <w:shd w:val="clear" w:color="auto" w:fill="FFFFFF"/>
        <w:spacing w:line="560" w:lineRule="exact"/>
        <w:ind w:firstLineChars="200" w:firstLine="606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C1628">
        <w:rPr>
          <w:rFonts w:ascii="仿宋_GB2312" w:eastAsia="仿宋_GB2312" w:hAnsi="仿宋_GB2312" w:cs="仿宋_GB2312" w:hint="eastAsia"/>
          <w:b/>
          <w:sz w:val="32"/>
          <w:szCs w:val="32"/>
        </w:rPr>
        <w:t>（五）</w:t>
      </w:r>
      <w:r w:rsidRPr="00CC1628">
        <w:rPr>
          <w:rFonts w:ascii="Times New Roman" w:eastAsia="仿宋_GB2312" w:hAnsi="Times New Roman" w:hint="eastAsia"/>
          <w:b/>
          <w:sz w:val="32"/>
          <w:szCs w:val="32"/>
        </w:rPr>
        <w:t>负责公司工程质量、技术工作的整体控制，建立集团公司项目工程质量标准及监督检查机制；</w:t>
      </w:r>
    </w:p>
    <w:p w:rsidR="0068152F" w:rsidRPr="00CC1628" w:rsidRDefault="006F04F7" w:rsidP="0010539E">
      <w:pPr>
        <w:widowControl/>
        <w:shd w:val="clear" w:color="auto" w:fill="FFFFFF"/>
        <w:spacing w:line="560" w:lineRule="exact"/>
        <w:ind w:firstLineChars="200" w:firstLine="606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C1628">
        <w:rPr>
          <w:rFonts w:ascii="仿宋_GB2312" w:eastAsia="仿宋_GB2312" w:hAnsi="仿宋_GB2312" w:cs="仿宋_GB2312" w:hint="eastAsia"/>
          <w:b/>
          <w:sz w:val="32"/>
          <w:szCs w:val="32"/>
        </w:rPr>
        <w:t>（六）</w:t>
      </w:r>
      <w:r w:rsidRPr="00CC1628">
        <w:rPr>
          <w:rFonts w:ascii="Times New Roman" w:eastAsia="仿宋_GB2312" w:hAnsi="Times New Roman" w:hint="eastAsia"/>
          <w:b/>
          <w:sz w:val="32"/>
          <w:szCs w:val="32"/>
        </w:rPr>
        <w:t>审核各阶段工程施工组织方案、技术措施、设计变更、工程变更等；对集团各区域内的项目的安全、质量、技术、生产进行全面管理和监督；</w:t>
      </w:r>
    </w:p>
    <w:p w:rsidR="0068152F" w:rsidRPr="00CC1628" w:rsidRDefault="006F04F7" w:rsidP="0010539E">
      <w:pPr>
        <w:widowControl/>
        <w:shd w:val="clear" w:color="auto" w:fill="FFFFFF"/>
        <w:spacing w:line="560" w:lineRule="exact"/>
        <w:ind w:firstLineChars="200" w:firstLine="606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sz w:val="32"/>
          <w:szCs w:val="32"/>
        </w:rPr>
        <w:t>（七）负责审核、控制工程项目建设成本，负责工程技术文件内外的审核签批；</w:t>
      </w:r>
    </w:p>
    <w:p w:rsidR="0068152F" w:rsidRPr="00CC1628" w:rsidRDefault="006F04F7" w:rsidP="0010539E">
      <w:pPr>
        <w:widowControl/>
        <w:shd w:val="clear" w:color="auto" w:fill="FFFFFF"/>
        <w:spacing w:line="560" w:lineRule="exact"/>
        <w:ind w:firstLineChars="200" w:firstLine="606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sz w:val="32"/>
          <w:szCs w:val="32"/>
        </w:rPr>
        <w:t>（八）负责规划、设计、技术全过程管理，组织工程项目的竣工验收和质量检查工作，配合外联工作，与规划、发改、环保、住建等部委办局的报审与对接；</w:t>
      </w:r>
    </w:p>
    <w:p w:rsidR="0068152F" w:rsidRPr="00CC1628" w:rsidRDefault="006F04F7" w:rsidP="0010539E">
      <w:pPr>
        <w:pStyle w:val="a7"/>
        <w:widowControl/>
        <w:spacing w:beforeAutospacing="0" w:afterAutospacing="0" w:line="560" w:lineRule="exact"/>
        <w:ind w:firstLine="645"/>
        <w:rPr>
          <w:rFonts w:ascii="Times New Roman" w:eastAsia="仿宋_GB2312" w:hAnsi="Times New Roman"/>
          <w:b/>
          <w:snapToGrid w:val="0"/>
          <w:kern w:val="2"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snapToGrid w:val="0"/>
          <w:kern w:val="2"/>
          <w:sz w:val="32"/>
          <w:szCs w:val="32"/>
        </w:rPr>
        <w:t>（九）做好项目资料报审、审计、工程款项及管理费收取等后续工作；</w:t>
      </w:r>
    </w:p>
    <w:p w:rsidR="0068152F" w:rsidRPr="00CC1628" w:rsidRDefault="0010539E" w:rsidP="0010539E">
      <w:pPr>
        <w:spacing w:line="560" w:lineRule="exact"/>
        <w:ind w:firstLineChars="200" w:firstLine="606"/>
        <w:rPr>
          <w:rFonts w:ascii="仿宋_GB2312" w:eastAsia="仿宋_GB2312" w:hAnsi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（十</w:t>
      </w:r>
      <w:r w:rsidR="006F04F7" w:rsidRPr="00CC1628">
        <w:rPr>
          <w:rFonts w:ascii="Times New Roman" w:eastAsia="仿宋_GB2312" w:hAnsi="Times New Roman" w:hint="eastAsia"/>
          <w:b/>
          <w:sz w:val="32"/>
          <w:szCs w:val="32"/>
        </w:rPr>
        <w:t>）组织制定、完善并监督落实分管领域规章制度，履行分管工作领域内各项基本管理职责（包括但不限于团队建设、能力提升）等；</w:t>
      </w:r>
    </w:p>
    <w:p w:rsidR="0068152F" w:rsidRPr="00CC1628" w:rsidRDefault="006F04F7" w:rsidP="0010539E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6"/>
        <w:rPr>
          <w:rFonts w:ascii="仿宋_GB2312" w:eastAsia="仿宋_GB2312" w:hAnsi="仿宋_GB2312" w:cs="仿宋_GB2312"/>
          <w:b/>
          <w:sz w:val="32"/>
          <w:szCs w:val="32"/>
        </w:rPr>
      </w:pP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t>（十</w:t>
      </w:r>
      <w:r w:rsidR="0010539E">
        <w:rPr>
          <w:rFonts w:ascii="Times New Roman" w:eastAsia="仿宋_GB2312" w:hAnsi="Times New Roman" w:hint="eastAsia"/>
          <w:b/>
          <w:kern w:val="2"/>
          <w:sz w:val="32"/>
          <w:szCs w:val="32"/>
        </w:rPr>
        <w:t>一</w:t>
      </w:r>
      <w:r w:rsidRPr="00CC1628">
        <w:rPr>
          <w:rFonts w:ascii="Times New Roman" w:eastAsia="仿宋_GB2312" w:hAnsi="Times New Roman" w:hint="eastAsia"/>
          <w:b/>
          <w:kern w:val="2"/>
          <w:sz w:val="32"/>
          <w:szCs w:val="32"/>
        </w:rPr>
        <w:t>）</w:t>
      </w:r>
      <w:r w:rsidRPr="00CC1628">
        <w:rPr>
          <w:rFonts w:ascii="仿宋_GB2312" w:eastAsia="仿宋_GB2312" w:hAnsi="仿宋_GB2312" w:cs="仿宋_GB2312" w:hint="eastAsia"/>
          <w:b/>
          <w:sz w:val="32"/>
          <w:szCs w:val="32"/>
        </w:rPr>
        <w:t>完成集团董事会或上级领导交办的其他工作。</w:t>
      </w:r>
    </w:p>
    <w:p w:rsidR="0068152F" w:rsidRPr="00CC1628" w:rsidRDefault="0068152F" w:rsidP="0010539E">
      <w:pPr>
        <w:spacing w:line="560" w:lineRule="exact"/>
        <w:rPr>
          <w:b/>
          <w:sz w:val="32"/>
          <w:szCs w:val="32"/>
        </w:rPr>
      </w:pPr>
    </w:p>
    <w:p w:rsidR="0068152F" w:rsidRPr="00CC1628" w:rsidRDefault="0068152F" w:rsidP="0010539E">
      <w:pPr>
        <w:spacing w:line="560" w:lineRule="exact"/>
        <w:rPr>
          <w:b/>
          <w:sz w:val="32"/>
          <w:szCs w:val="32"/>
        </w:rPr>
      </w:pPr>
    </w:p>
    <w:p w:rsidR="0068152F" w:rsidRPr="00CC1628" w:rsidRDefault="0068152F" w:rsidP="0010539E">
      <w:pPr>
        <w:spacing w:line="560" w:lineRule="exact"/>
        <w:rPr>
          <w:b/>
          <w:sz w:val="32"/>
          <w:szCs w:val="32"/>
        </w:rPr>
      </w:pPr>
      <w:bookmarkStart w:id="0" w:name="_GoBack"/>
      <w:bookmarkEnd w:id="0"/>
    </w:p>
    <w:sectPr w:rsidR="0068152F" w:rsidRPr="00CC1628" w:rsidSect="00EE1D63">
      <w:pgSz w:w="11906" w:h="16838" w:code="9"/>
      <w:pgMar w:top="2041" w:right="1644" w:bottom="1474" w:left="1644" w:header="851" w:footer="1247" w:gutter="0"/>
      <w:cols w:space="425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EC783"/>
    <w:multiLevelType w:val="singleLevel"/>
    <w:tmpl w:val="8FBEC7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6C21C41"/>
    <w:multiLevelType w:val="singleLevel"/>
    <w:tmpl w:val="A6C21C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6"/>
  <w:drawingGridVerticalSpacing w:val="293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40"/>
    <w:rsid w:val="0003502B"/>
    <w:rsid w:val="0010539E"/>
    <w:rsid w:val="00184956"/>
    <w:rsid w:val="00262FE3"/>
    <w:rsid w:val="002A3A95"/>
    <w:rsid w:val="002A5E10"/>
    <w:rsid w:val="003176A6"/>
    <w:rsid w:val="003A44DF"/>
    <w:rsid w:val="00492D2B"/>
    <w:rsid w:val="004A40CA"/>
    <w:rsid w:val="004B4B30"/>
    <w:rsid w:val="0068152F"/>
    <w:rsid w:val="006F04F7"/>
    <w:rsid w:val="00785211"/>
    <w:rsid w:val="00785D3A"/>
    <w:rsid w:val="00850A40"/>
    <w:rsid w:val="008E0E46"/>
    <w:rsid w:val="00C667E4"/>
    <w:rsid w:val="00CC1628"/>
    <w:rsid w:val="00D93E7D"/>
    <w:rsid w:val="00E3714C"/>
    <w:rsid w:val="00EA606E"/>
    <w:rsid w:val="00EE1D63"/>
    <w:rsid w:val="00FA54C0"/>
    <w:rsid w:val="046D531F"/>
    <w:rsid w:val="0B1E0990"/>
    <w:rsid w:val="119C20B6"/>
    <w:rsid w:val="2B0D0EA1"/>
    <w:rsid w:val="345C51D0"/>
    <w:rsid w:val="4A1759CA"/>
    <w:rsid w:val="54067847"/>
    <w:rsid w:val="7F4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Emphasis"/>
    <w:basedOn w:val="a1"/>
    <w:uiPriority w:val="20"/>
    <w:qFormat/>
    <w:rPr>
      <w:i/>
    </w:rPr>
  </w:style>
  <w:style w:type="character" w:styleId="a9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Emphasis"/>
    <w:basedOn w:val="a1"/>
    <w:uiPriority w:val="20"/>
    <w:qFormat/>
    <w:rPr>
      <w:i/>
    </w:rPr>
  </w:style>
  <w:style w:type="character" w:styleId="a9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idu.com/link?url=X4fnAOqjc1mE_AUviz1dIMLSQ6d-xCRHX6MlAfw9Z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wukaiyuan</cp:lastModifiedBy>
  <cp:revision>20</cp:revision>
  <cp:lastPrinted>2020-07-27T03:15:00Z</cp:lastPrinted>
  <dcterms:created xsi:type="dcterms:W3CDTF">2020-07-01T09:07:00Z</dcterms:created>
  <dcterms:modified xsi:type="dcterms:W3CDTF">2020-07-27T03:16:00Z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