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5"/>
        </w:tabs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tbl>
      <w:tblPr>
        <w:tblStyle w:val="2"/>
        <w:tblW w:w="91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313"/>
        <w:gridCol w:w="725"/>
        <w:gridCol w:w="1447"/>
        <w:gridCol w:w="4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118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36"/>
                <w:szCs w:val="36"/>
              </w:rPr>
              <w:t>2020年郴州市第四人民医院公开招聘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36"/>
                <w:szCs w:val="36"/>
              </w:rPr>
              <w:t>编制外专业技术人员开考情况统计表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网上报名及资格初审通过数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开考意见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肾脏内分泌科医师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（肾脏病学及风湿方向）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达到开考比例，同意招考1个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ICU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达到开考比例，同意招考1个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产科医师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达到开考比例，同意招考1个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急诊科医师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达到开考比例，同意招考1个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放射技师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达到开考比例，同意招考2个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静配中心药师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达到开考比例，同意招考1个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泌尿外科医师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心血管内科医师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中医科医师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心电图医师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呼吸内科医师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耳鼻喉科医师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肾脏内分泌科医师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(内分泌与代谢方向）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眼科医师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结核科医师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华湘医院医师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9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31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临床药师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报名人数未达到规定比例，取消开考</w:t>
            </w:r>
          </w:p>
        </w:tc>
      </w:tr>
    </w:tbl>
    <w:p>
      <w:pPr>
        <w:tabs>
          <w:tab w:val="left" w:pos="5345"/>
        </w:tabs>
        <w:rPr>
          <w:rFonts w:ascii="仿宋_GB2312" w:eastAsia="仿宋_GB2312"/>
          <w:sz w:val="32"/>
        </w:rPr>
      </w:pPr>
    </w:p>
    <w:p>
      <w:pPr>
        <w:tabs>
          <w:tab w:val="left" w:pos="5345"/>
        </w:tabs>
        <w:rPr>
          <w:rFonts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E0263"/>
    <w:rsid w:val="28C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2020-08-03T07:01:00Z</dcterms:created>
  <dc:creator>豆沙包</dc:creator>
  <cp:lastModifiedBy>豆沙包</cp:lastModifiedBy>
  <dcterms:modified xsi:type="dcterms:W3CDTF">2020-08-03T07:02:44Z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