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汤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</w:t>
            </w:r>
            <w:bookmarkStart w:id="0" w:name="_GoBack"/>
            <w:bookmarkEnd w:id="0"/>
            <w:r>
              <w:rPr>
                <w:rFonts w:eastAsia="仿宋_GB2312"/>
                <w:sz w:val="24"/>
                <w:szCs w:val="24"/>
              </w:rPr>
              <w:t>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梁海和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柳州市潭中西路10柳南区政府元信投资大厦1513室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韦雪远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</w:t>
            </w:r>
            <w:r>
              <w:rPr>
                <w:rFonts w:hint="eastAsia" w:eastAsia="仿宋_GB2312"/>
                <w:sz w:val="24"/>
                <w:szCs w:val="24"/>
              </w:rPr>
              <w:t>5305535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柳江</w:t>
            </w:r>
            <w:r>
              <w:rPr>
                <w:rFonts w:hint="eastAsia" w:eastAsia="仿宋_GB2312"/>
                <w:sz w:val="24"/>
                <w:szCs w:val="24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覃巧鲜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柳州市</w:t>
            </w:r>
            <w:r>
              <w:rPr>
                <w:rFonts w:hint="eastAsia" w:eastAsia="仿宋_GB2312"/>
                <w:sz w:val="24"/>
                <w:szCs w:val="24"/>
              </w:rPr>
              <w:t>柳城县大埔镇城东大厦西裙楼一楼柳城县人才服务管理办公室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温  馨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</w:t>
            </w:r>
            <w:r>
              <w:rPr>
                <w:rFonts w:hint="eastAsia" w:eastAsia="仿宋_GB2312"/>
                <w:sz w:val="24"/>
                <w:szCs w:val="24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柳州市融安县长安镇广场东路融安县人社局四楼人事股一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蒙双乐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0772-5129136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杨春蔓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鹿寨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童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柳州市鹿寨县创业路2号行政中心3楼人社局人事管理股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E115960"/>
    <w:rsid w:val="0FEE50A8"/>
    <w:rsid w:val="14495206"/>
    <w:rsid w:val="174A7C3E"/>
    <w:rsid w:val="179B6D83"/>
    <w:rsid w:val="21996812"/>
    <w:rsid w:val="22DA5C1F"/>
    <w:rsid w:val="25D640AB"/>
    <w:rsid w:val="3E1E0CEE"/>
    <w:rsid w:val="41730ADE"/>
    <w:rsid w:val="46BC4A6F"/>
    <w:rsid w:val="51983C78"/>
    <w:rsid w:val="5615337D"/>
    <w:rsid w:val="57DA6DE5"/>
    <w:rsid w:val="60CA1BC8"/>
    <w:rsid w:val="666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119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2020-07-27T09:55:25Z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