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cs="仿宋_GB2312"/>
          <w:color w:val="000000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val="en-US" w:eastAsia="zh-CN"/>
        </w:rPr>
        <w:t>北京健康宝查询方式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北京健康宝状态可通过本人微信或支付宝搜索“北京健康宝”小程序查询，也可通过微信或支付宝扫描二维码查询，二维码见下图。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ascii="宋体" w:hAnsi="宋体" w:eastAsia="宋体" w:cs="宋体"/>
          <w:color w:val="000000"/>
          <w:sz w:val="24"/>
          <w:highlight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74930</wp:posOffset>
            </wp:positionV>
            <wp:extent cx="4762500" cy="2066925"/>
            <wp:effectExtent l="0" t="0" r="0" b="9525"/>
            <wp:wrapSquare wrapText="bothSides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A0DBD"/>
    <w:rsid w:val="71C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b/>
      <w:color w:val="000000"/>
      <w:sz w:val="24"/>
    </w:r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2020-07-22T08:44:00Z</dcterms:created>
  <dc:creator>EVEN</dc:creator>
  <cp:lastModifiedBy>EVEN</cp:lastModifiedBy>
  <dcterms:modified xsi:type="dcterms:W3CDTF">2020-07-22T08:44:39Z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