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tbl>
      <w:tblPr>
        <w:tblStyle w:val="2"/>
        <w:tblW w:w="1359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1350"/>
        <w:gridCol w:w="1110"/>
        <w:gridCol w:w="1662"/>
        <w:gridCol w:w="1398"/>
        <w:gridCol w:w="1305"/>
        <w:gridCol w:w="1212"/>
        <w:gridCol w:w="1398"/>
        <w:gridCol w:w="1632"/>
        <w:gridCol w:w="175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135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渭南市华州区2020年特岗教师岗位调剂信息表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县市区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设岗乡镇及学校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学段类别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招聘学科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资格初审通过人数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最终招聘计划数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050710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塬下学校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增设1个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050714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塬区学校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语文3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增设1个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050715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华州区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塬区学校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数学3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核减2个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1B0CFF"/>
    <w:rsid w:val="2E1B0CFF"/>
    <w:rsid w:val="463D704A"/>
    <w:rsid w:val="46CC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2020-07-06T05:00:00Z</dcterms:created>
  <dc:creator>春暖花开时</dc:creator>
  <cp:lastModifiedBy>李薇</cp:lastModifiedBy>
  <dcterms:modified xsi:type="dcterms:W3CDTF">2020-07-13T01:03:18Z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