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华文宋体" w:hAnsi="华文宋体" w:eastAsia="华文宋体" w:cs="华文宋体"/>
          <w:b/>
          <w:bCs/>
          <w:sz w:val="44"/>
          <w:szCs w:val="44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sz w:val="44"/>
          <w:szCs w:val="44"/>
          <w:lang w:val="en-US" w:eastAsia="zh-CN"/>
        </w:rPr>
        <w:t>关于健康码申领使用、查询疫情风险等级等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华文宋体" w:hAnsi="华文宋体" w:eastAsia="华文宋体" w:cs="华文宋体"/>
          <w:b/>
          <w:bCs/>
          <w:sz w:val="44"/>
          <w:szCs w:val="44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sz w:val="44"/>
          <w:szCs w:val="44"/>
          <w:lang w:val="en-US" w:eastAsia="zh-CN"/>
        </w:rPr>
        <w:t>有关问题的说明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一、如何申请办理健康码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省内考生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须在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支付宝首页搜索“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豫事办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，经实名认证后，填写申报信息获取“健康码”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省外低风险地区考生须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支付宝首页搜索“市民中心”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，点击“国家平台”进入“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国家政务服务平台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”获取“健康码”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二、中、高风险等疫情重点地区流入人员管理有关规定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按照规定，自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省外中、高风险等疫情重点地区来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新乡县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人员至少于抵达前3天（不晚于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日）向流入地所在村居（社区）报告流入人员姓名、联系方式、时间、交通方式、健康状况等信息。中、高风险等疫情重点地区来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新乡县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的人员纳入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新乡县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疫情防控体系，按照有关要求进行集中（居家）隔离观察、健康管理和核酸检测，具体要求请联系新乡县疾病预防控制中心。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三、如何查询所在地区的疫情风险等级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可使用“国务院客户端”微信小程序点击“疫情风险查询”，或在微信小程序中搜索“疫情风险等级查询”，或登陆http://bmfw.www.gov.cn/yqfxdjcx/index.html，选择查询地区即可了解该地的疫情风险等级。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新乡县疾病预防控制中心联系电话：0373—5585678。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5EBC25"/>
    <w:multiLevelType w:val="singleLevel"/>
    <w:tmpl w:val="C35EBC2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A5ACA"/>
    <w:rsid w:val="16FA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2020-07-03T07:19:00Z</dcterms:created>
  <dc:creator>小贝</dc:creator>
  <cp:lastModifiedBy>小贝</cp:lastModifiedBy>
  <dcterms:modified xsi:type="dcterms:W3CDTF">2020-07-03T07:20:27Z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