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附件1</w:t>
      </w:r>
    </w:p>
    <w:p>
      <w:pPr>
        <w:spacing w:line="620" w:lineRule="atLeas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关于山东省电子健康通行码申领使用、查询疫情风险等级等有关问题的说明</w:t>
      </w:r>
    </w:p>
    <w:p>
      <w:pPr>
        <w:spacing w:line="600" w:lineRule="exact"/>
        <w:ind w:firstLine="640" w:firstLineChars="200"/>
        <w:rPr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市、区疾控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四、疾控部门联系方式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淄博市疾控中心0533-2184550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张店区疾控中心0533-2862746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  <w:t>周村区疾控中心0533-6181904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eastAsia="zh-CN"/>
        </w:rPr>
        <w:t>沂源县疾控中心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/>
        </w:rPr>
        <w:t>0533-324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/>
        </w:rPr>
        <w:t>1200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C406C"/>
    <w:rsid w:val="008B7726"/>
    <w:rsid w:val="00AD5DA7"/>
    <w:rsid w:val="00AF2B14"/>
    <w:rsid w:val="00D31D50"/>
    <w:rsid w:val="41A42F5B"/>
    <w:rsid w:val="67C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3</TotalTime>
  <ScaleCrop>false</ScaleCrop>
  <LinksUpToDate>false</LinksUpToDate>
  <CharactersWithSpaces>840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2020-07-03T08:57:52Z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