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t>附件4</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宁夏回族自治区2020年度考试录用公务员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公共科目考试大纲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为便于报考者充分了解</w:t>
      </w:r>
      <w:r>
        <w:rPr>
          <w:rFonts w:hint="default"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宁夏回族自治区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2020</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年度考试录用公务员公共科目笔试，特制定本大纲。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一、笔试内容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宁夏回族自治区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2020</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年度考试录用公务员公共科目笔试分为行政职业能力测验和申论两科，主要测查从事公务员工作应当具备的基本能力和基本素质，特别是用习近平新时代中国特色社会主义思想指导解决问题的能力。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公共科目笔试全部采用闭卷考试的方式。其中，行政职业能力测验为客观性试题，考试时限</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120</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分钟</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申论为主观性试题，考试时限</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5</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0</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分钟。</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二、行政职业能力测验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行政职业能力测验主要包括常识判断、言语理解与表达、数量关系、判断推理和资料分析等</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内容</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常识判断</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主要测查报考者在政治、经济、文化、科技等方面应知应会的基本知识以及运用这些知识进行分析判断的基本能力。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例题：某城市空气质量较差，检测结果显示，在主要污染物中，</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PM10</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颗粒浓度严重超标，</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PM2.5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颗粒浓度及有害气体浓度尚在正常范围。如果你是城市决策者，采取以下哪些措施能在影响最小的情况下，最有效地改善空气质量？</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①整改郊区水泥厂</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②整改郊区造纸厂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③市区车辆限号行驶</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④改善郊区植被环境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．①②</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．③④</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．②③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水泥厂在生产过程中会产生大量的烟尘等可吸入颗粒物，符合题意；②造纸厂在生产过程中产生的主要污染是水污染和重金属污染，不符合题意；③汽车尾气排放是产生可吸入颗粒物的主要来源之一，但是题干中说</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PM2.5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颗粒浓度及有害气体浓度尚在正常范围，所以尾气并不是造成空气污染的主要原因，不符合题意；④植被有吸附各种污染物的功能，所以改善植被环境符合题意。因此，正确答案为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言语理解与表达</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文段最后一句话中的“这”指的是：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．自然共同体意识的树立</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．对自然共同体的义务</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．热爱自然的感情</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．重建人与自然关系的愿望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首句指出环境保护主义“是一种重建人与自然关系的强烈愿望”，次句说明“要实现这一愿望，就必须树立一种自然共同体的意识”，第三句说明“只有树立了这样的一种道德意识”的重要意义，最后归结到“这不仅依赖</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，也依赖</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”，即实现这种意识的条件。因此，可知“这”指的是“自然共同体意识的树立”，正确答案为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：脱贫攻坚必须</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，一步一个脚印，确保各项扶贫政策措施落到实处，积小胜为大胜，最终取得全面胜利。同时也应加强贫困村基层组织建设，充分调动贫困群众的积极性，提高其参与度、获得感，激励其</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，激发其脱贫的内生动力与活力。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依次填入画横线部分最恰当的一项是：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．未雨绸缪</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一马当先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．一鼓作气</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奋发图强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25"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．循序渐进</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再接再厉</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．稳扎稳打</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自力更生</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。第一空根据后文“一步一个脚印”“落到实处”，说明此空应表达出脚踏实地之意。第二空根据后文“激发其脱贫的内生动力与活力”，强调的是“内生”。因此，应该填入“稳扎稳打</w:t>
      </w: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自力更生”，正确答案为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数量关系</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主要测查报考者理解、把握事物间量化关系和解决数量关系问题的能力，主要涉及数据关系的分析、推理、判断、运算等。常用题型有数字推理和数学运算两种。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数字推理：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1   2   4   8   16  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16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24    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32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36</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。原数列是一个等比数列，后一项是前一项的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倍，故正确答案为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数学运算：</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每道题给出一个算术式子或者表达数量关系的一段文字，要求报考者熟练运用加、减、乘、除等基本运算法则，并利用其他基本数学知识计算或推出结果。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例题：某单位的会议室有</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排共</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40</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个座位，每排座位数相同。小张和小李随机入座，则他们坐在同一排的概率：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．不高于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15%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．高于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但低于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．正好为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．高于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。根据题意可知，小张随机选一个位置就坐，那么小李可以选择的位置为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个，因此总情况数</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=40</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。要让他们恰好坐在同一排，应先从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排中选一排，再从这一排中选</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个座位，符合条件的情况数</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8</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，因此概率约为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7/39=17.9%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判断推理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主要测查报考者对各种事物关系的分析推理能力，主要涉及对图形、语词概念、事物关系和文字材料的理解、比较、组合、演绎和归纳等。常用题型有图形推理、定义判断、类比推理、逻辑判断四种。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图形推理：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每道题给出一套或两套图形，要求报考者通过观察分析找出图形排列的规律，选出符合规律的一项。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例题：把下面的六个图形分为两类，使每一类图形都有各自的共同特征或规律，分类正确的一项是：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55" w:lineRule="atLeast"/>
        <w:ind w:firstLine="315" w:firstLineChars="100"/>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①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②</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③</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④</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⑤</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drawing>
          <wp:anchor distT="0" distB="0" distL="114300" distR="114300" simplePos="0" relativeHeight="251658240" behindDoc="0" locked="0" layoutInCell="1" allowOverlap="1">
            <wp:simplePos x="0" y="0"/>
            <wp:positionH relativeFrom="column">
              <wp:posOffset>-97155</wp:posOffset>
            </wp:positionH>
            <wp:positionV relativeFrom="paragraph">
              <wp:posOffset>120650</wp:posOffset>
            </wp:positionV>
            <wp:extent cx="5704840" cy="797560"/>
            <wp:effectExtent l="0" t="0" r="10160" b="0"/>
            <wp:wrapTopAndBottom/>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5704840" cy="797560"/>
                    </a:xfrm>
                    <a:prstGeom prst="rect">
                      <a:avLst/>
                    </a:prstGeom>
                    <a:noFill/>
                    <a:ln w="9525">
                      <a:noFill/>
                    </a:ln>
                  </pic:spPr>
                </pic:pic>
              </a:graphicData>
            </a:graphic>
          </wp:anchor>
        </w:drawing>
      </w:r>
      <w:r>
        <w:rPr>
          <w:rFonts w:hint="default" w:ascii="Times New Roman" w:hAnsi="Times New Roman" w:eastAsia="微软雅黑" w:cs="Times New Roman"/>
          <w:i w:val="0"/>
          <w:caps w:val="0"/>
          <w:color w:val="000000" w:themeColor="text1"/>
          <w:spacing w:val="0"/>
          <w:sz w:val="18"/>
          <w:szCs w:val="18"/>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．①②⑥，③④⑤</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．①③④，②⑤⑥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．①④⑤，②③⑥</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．①④⑥，②③⑤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。题干中每个图形中都有多个封闭图形和线段，考虑二者之间的位置关系。正确答案为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定义判断：</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每道题先对相关概念进行定义，然后分别列出四种情况，要求报考者严格依据定义选出一个最符合或最不符合该定义的答案。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55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3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根据上述定义，下列选项中应添加“批复”的是：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1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．《国务院办公厅关于进一步加强资本市场中小投资者合法权益保护工作的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1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．《国务院办公厅关于黑龙江双鸭山经济开发区升级为国家级经济技术开发区的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1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．《国务院关于同意设立陕西西咸新区的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111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．《国务院关于在我国统一实行法定计量单位的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。根据题干，“批复”的定义要点是：答复下级机关请示事项。</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选项中，同意设立陕西西咸新区，属于答复下级机关请示，符合定义。因此，正确答案为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类比推理：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给出一组相关的词，要求通过观察分析，在备选答案中找出一组与之在逻辑关系上最为贴近或相似的词。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例题：设计</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发放</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问卷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．复制</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修改</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文字</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．预习</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复习</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考试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．播放</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快进</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磁带</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．制定</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执行</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政策</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。“设计”和“发放”是问卷实施过程中必然经历的两个步骤，顺序是先设计，后发放。</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选项，“制定”“执行”是政策实行过程中必然经历的两个步骤，并且制定在前，执行在后，与题干逻辑关系一致，</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选项中的词语不具备题干中的逻辑关系。因此，正确答案为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逻辑判断：</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每道题给出一段陈述，这段陈述被假设是正确的，不容置疑的。要求报考者根据这段陈述，运用一定的逻辑推论，选择一个最恰当的答案。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例题：扶贫必扶智。让贫困地区的孩子们接受良好教育，是扶贫开发的重要任务，也是阻断贫困代际传递的重要途径。</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以上观点的前提是：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．贫困的代际传递导致教育的落后</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．知识改变命运，教育成就财富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．扶贫工作难，扶智工作更难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．富有阶层大都受过良好教育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选项指出“教育成就财富”，从而也就可以阻断贫困的代际传递。因此，正确答案为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资料分析</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主要测查报考者对文字、数字、图表等统计性资料的综合理解与分析加工能力。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48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例题：某市</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2015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年全年粮食总产量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4.16</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万吨，同比下降</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2.3%</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；甘蔗产量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0.57</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万吨，下降</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23.6%</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；油料产量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0.12</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万吨，增长</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32.4%</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；蔬菜产量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15.79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万吨，下降</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3.4%</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；水果产量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7.84</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万吨，增长</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7.4%</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全年水产品产量</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29.16</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万吨，同比增长</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3.6%</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。其中海洋捕捞</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1.09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万吨，与上年持平；海水养殖</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6.07</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万吨，增长</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89.5%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；淡水捕捞</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0.18</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万吨，增长</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1.1%</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；淡水养殖</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21.81</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万吨，下降</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drawing>
          <wp:anchor distT="0" distB="0" distL="114300" distR="114300" simplePos="0" relativeHeight="251659264" behindDoc="0" locked="0" layoutInCell="1" allowOverlap="1">
            <wp:simplePos x="0" y="0"/>
            <wp:positionH relativeFrom="column">
              <wp:posOffset>15875</wp:posOffset>
            </wp:positionH>
            <wp:positionV relativeFrom="paragraph">
              <wp:posOffset>221615</wp:posOffset>
            </wp:positionV>
            <wp:extent cx="5603875" cy="2585085"/>
            <wp:effectExtent l="0" t="0" r="15875" b="5715"/>
            <wp:wrapSquare wrapText="bothSides"/>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603875" cy="2585085"/>
                    </a:xfrm>
                    <a:prstGeom prst="rect">
                      <a:avLst/>
                    </a:prstGeom>
                    <a:noFill/>
                    <a:ln w="9525">
                      <a:noFill/>
                    </a:ln>
                  </pic:spPr>
                </pic:pic>
              </a:graphicData>
            </a:graphic>
          </wp:anchor>
        </w:drawing>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2010</w:t>
      </w:r>
      <w:r>
        <w:rPr>
          <w:rFonts w:hint="default" w:ascii="Times New Roman" w:hAnsi="Times New Roman" w:eastAsia="幼圆"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2015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年某市粮食产量及其增速</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2014</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年该市蔬菜产量比水果产量约高多少万吨？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6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8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9</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三、申论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申论试卷由注意事项、给定资料和作答要求三部分组成</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主要测查报考者的阅读理解能力、综合分析能力、提出和解决问题能力、文字表达能力。</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本次招考</w:t>
      </w:r>
      <w:bookmarkStart w:id="0" w:name="_GoBack"/>
      <w:bookmarkEnd w:id="0"/>
      <w:r>
        <w:rPr>
          <w:rFonts w:hint="eastAsia" w:ascii="Times New Roman" w:hAnsi="Times New Roman" w:eastAsia="仿宋_GB2312"/>
          <w:color w:val="000000"/>
          <w:sz w:val="32"/>
          <w:szCs w:val="32"/>
          <w:shd w:val="clear" w:color="auto" w:fill="FFFFFF"/>
          <w:lang w:eastAsia="zh-CN"/>
        </w:rPr>
        <w:t>申论试卷分级命制，</w:t>
      </w:r>
      <w:r>
        <w:rPr>
          <w:rFonts w:hint="eastAsia" w:ascii="Times New Roman" w:hAnsi="Times New Roman" w:eastAsia="仿宋_GB2312"/>
          <w:color w:val="000000"/>
          <w:sz w:val="32"/>
          <w:szCs w:val="32"/>
          <w:shd w:val="clear" w:color="auto" w:fill="FFFFFF"/>
        </w:rPr>
        <w:t>自治区级</w:t>
      </w:r>
      <w:r>
        <w:rPr>
          <w:rFonts w:hint="eastAsia" w:ascii="Times New Roman" w:hAnsi="Times New Roman" w:eastAsia="仿宋_GB2312"/>
          <w:color w:val="000000"/>
          <w:sz w:val="32"/>
          <w:szCs w:val="32"/>
          <w:shd w:val="clear" w:color="auto" w:fill="FFFFFF"/>
          <w:lang w:eastAsia="zh-CN"/>
        </w:rPr>
        <w:t>职位使用</w:t>
      </w:r>
      <w:r>
        <w:rPr>
          <w:rFonts w:hint="eastAsia" w:ascii="Times New Roman" w:hAnsi="Times New Roman" w:eastAsia="仿宋_GB2312"/>
          <w:color w:val="000000"/>
          <w:sz w:val="32"/>
          <w:szCs w:val="32"/>
          <w:shd w:val="clear" w:color="auto" w:fill="FFFFFF"/>
          <w:lang w:val="en-US" w:eastAsia="zh-CN"/>
        </w:rPr>
        <w:t>A卷</w:t>
      </w:r>
      <w:r>
        <w:rPr>
          <w:rFonts w:hint="eastAsia" w:ascii="Times New Roman" w:hAnsi="Times New Roman" w:eastAsia="仿宋_GB2312"/>
          <w:color w:val="000000"/>
          <w:sz w:val="32"/>
          <w:szCs w:val="32"/>
          <w:shd w:val="clear" w:color="auto" w:fill="FFFFFF"/>
        </w:rPr>
        <w:t>、市县级</w:t>
      </w:r>
      <w:r>
        <w:rPr>
          <w:rFonts w:hint="eastAsia" w:ascii="Times New Roman" w:hAnsi="Times New Roman" w:eastAsia="仿宋_GB2312"/>
          <w:color w:val="000000"/>
          <w:sz w:val="32"/>
          <w:szCs w:val="32"/>
          <w:shd w:val="clear" w:color="auto" w:fill="FFFFFF"/>
          <w:lang w:eastAsia="zh-CN"/>
        </w:rPr>
        <w:t>职位使用</w:t>
      </w:r>
      <w:r>
        <w:rPr>
          <w:rFonts w:hint="eastAsia" w:ascii="Times New Roman" w:hAnsi="Times New Roman" w:eastAsia="仿宋_GB2312"/>
          <w:color w:val="000000"/>
          <w:sz w:val="32"/>
          <w:szCs w:val="32"/>
          <w:shd w:val="clear" w:color="auto" w:fill="FFFFFF"/>
          <w:lang w:val="en-US" w:eastAsia="zh-CN"/>
        </w:rPr>
        <w:t>B卷、</w:t>
      </w:r>
      <w:r>
        <w:rPr>
          <w:rFonts w:hint="eastAsia" w:ascii="Times New Roman" w:hAnsi="Times New Roman" w:eastAsia="仿宋_GB2312"/>
          <w:color w:val="000000"/>
          <w:sz w:val="32"/>
          <w:szCs w:val="32"/>
          <w:shd w:val="clear" w:color="auto" w:fill="FFFFFF"/>
        </w:rPr>
        <w:t>乡镇</w:t>
      </w:r>
      <w:r>
        <w:rPr>
          <w:rFonts w:hint="eastAsia" w:ascii="Times New Roman" w:hAnsi="Times New Roman" w:eastAsia="仿宋_GB2312"/>
          <w:color w:val="000000"/>
          <w:sz w:val="32"/>
          <w:szCs w:val="32"/>
          <w:shd w:val="clear" w:color="auto" w:fill="FFFFFF"/>
          <w:lang w:eastAsia="zh-CN"/>
        </w:rPr>
        <w:t>（街道）</w:t>
      </w:r>
      <w:r>
        <w:rPr>
          <w:rFonts w:hint="eastAsia" w:ascii="Times New Roman" w:hAnsi="Times New Roman" w:eastAsia="仿宋_GB2312"/>
          <w:color w:val="000000"/>
          <w:sz w:val="32"/>
          <w:szCs w:val="32"/>
          <w:shd w:val="clear" w:color="auto" w:fill="FFFFFF"/>
        </w:rPr>
        <w:t>级职位</w:t>
      </w:r>
      <w:r>
        <w:rPr>
          <w:rFonts w:hint="eastAsia" w:ascii="Times New Roman" w:hAnsi="Times New Roman" w:eastAsia="仿宋_GB2312"/>
          <w:color w:val="000000"/>
          <w:sz w:val="32"/>
          <w:szCs w:val="32"/>
          <w:shd w:val="clear" w:color="auto" w:fill="FFFFFF"/>
          <w:lang w:eastAsia="zh-CN"/>
        </w:rPr>
        <w:t>使用</w:t>
      </w:r>
      <w:r>
        <w:rPr>
          <w:rFonts w:hint="eastAsia" w:ascii="Times New Roman" w:hAnsi="Times New Roman" w:eastAsia="仿宋_GB2312"/>
          <w:color w:val="000000"/>
          <w:sz w:val="32"/>
          <w:szCs w:val="32"/>
          <w:shd w:val="clear" w:color="auto" w:fill="FFFFFF"/>
          <w:lang w:val="en-US" w:eastAsia="zh-CN"/>
        </w:rPr>
        <w:t>C卷。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阅读理解能力</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全面把握给定资料的相关内容，准确理解给定资料的含义，准确提炼事实所包含的观点，并揭示所反映的本质问题。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综合分析能力</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对给定资料的全部或部分的内容、观点或问题进行分析和归纳，多角度地思考资料内容，作出合理的推断或评价。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提出和解决问题能力</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准确理解把握给定资料所反映的问题，提出解决问题的措施或办法。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3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文字表达能力</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熟练使用指定的语种，运用说明、陈述、议论等方式，准确规范、简明畅达地表述思想观点。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四、作答要求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（一）行政职业能力测验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报考者务必携带的考试文具包括</w:t>
      </w: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黑色字迹的钢笔或签字笔、</w:t>
      </w:r>
      <w:r>
        <w:rPr>
          <w:rStyle w:val="6"/>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铅笔和橡皮</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。报考者必须用</w:t>
      </w:r>
      <w:r>
        <w:rPr>
          <w:rStyle w:val="6"/>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在指定位置上填涂准考证号，并在</w:t>
      </w: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答题卡</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上作答。在试题本或其他位置作答一律无效。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（二）申论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报考者务必携带的考试文具包括</w:t>
      </w: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黑色字迹的钢笔或签字笔、</w:t>
      </w:r>
      <w:r>
        <w:rPr>
          <w:rStyle w:val="6"/>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铅笔和橡皮</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。报考者必须用</w:t>
      </w:r>
      <w:r>
        <w:rPr>
          <w:rStyle w:val="6"/>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在指定位置上填涂准考证号，用</w:t>
      </w: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钢笔或签字笔</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在</w:t>
      </w: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答题卡</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指定位置上作答。在非指定位置作答或用铅笔作答一律无效。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sectPr>
      <w:footerReference r:id="rId3" w:type="default"/>
      <w:pgSz w:w="11906" w:h="16838"/>
      <w:pgMar w:top="1984" w:right="1587"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幼圆">
    <w:altName w:val="Courier New"/>
    <w:panose1 w:val="00000000000000000000"/>
    <w:charset w:val="00"/>
    <w:family w:val="auto"/>
    <w:pitch w:val="default"/>
    <w:sig w:usb0="00000000" w:usb1="00000000" w:usb2="00000000" w:usb3="00000000" w:csb0="00000000"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Segoe Print">
    <w:altName w:val="Verdana"/>
    <w:panose1 w:val="02000600000000000000"/>
    <w:charset w:val="00"/>
    <w:family w:val="auto"/>
    <w:pitch w:val="default"/>
    <w:sig w:usb0="00000000" w:usb1="00000000" w:usb2="00000000" w:usb3="00000000" w:csb0="2000009F" w:csb1="47010000"/>
  </w:font>
  <w:font w:name="Latha">
    <w:altName w:val="Palatino Linotype"/>
    <w:panose1 w:val="02000400000000000000"/>
    <w:charset w:val="00"/>
    <w:family w:val="auto"/>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Courier New">
    <w:panose1 w:val="02070309020205020404"/>
    <w:charset w:val="00"/>
    <w:family w:val="auto"/>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52B68"/>
    <w:rsid w:val="024E2AFA"/>
    <w:rsid w:val="03716348"/>
    <w:rsid w:val="04FD6751"/>
    <w:rsid w:val="0F3C39A6"/>
    <w:rsid w:val="0F476AAE"/>
    <w:rsid w:val="0FC1328C"/>
    <w:rsid w:val="0FF17534"/>
    <w:rsid w:val="1311690B"/>
    <w:rsid w:val="159C5DCE"/>
    <w:rsid w:val="16675B6E"/>
    <w:rsid w:val="18912965"/>
    <w:rsid w:val="1C417292"/>
    <w:rsid w:val="1CC801E8"/>
    <w:rsid w:val="1DE03C8B"/>
    <w:rsid w:val="20B0120C"/>
    <w:rsid w:val="242E5520"/>
    <w:rsid w:val="24376676"/>
    <w:rsid w:val="248D6AEB"/>
    <w:rsid w:val="24E23B37"/>
    <w:rsid w:val="264A11A3"/>
    <w:rsid w:val="28425A0F"/>
    <w:rsid w:val="29923F1C"/>
    <w:rsid w:val="29DB2579"/>
    <w:rsid w:val="2E0A61F2"/>
    <w:rsid w:val="2E281DF2"/>
    <w:rsid w:val="30CF49B9"/>
    <w:rsid w:val="3186419E"/>
    <w:rsid w:val="32C225DF"/>
    <w:rsid w:val="340258C4"/>
    <w:rsid w:val="350D4E8B"/>
    <w:rsid w:val="36BF54FE"/>
    <w:rsid w:val="38A967DD"/>
    <w:rsid w:val="392046DA"/>
    <w:rsid w:val="3AED5666"/>
    <w:rsid w:val="42D74058"/>
    <w:rsid w:val="44154851"/>
    <w:rsid w:val="47ED3003"/>
    <w:rsid w:val="486E2017"/>
    <w:rsid w:val="4A9C0A27"/>
    <w:rsid w:val="4C41576C"/>
    <w:rsid w:val="50737D6A"/>
    <w:rsid w:val="56E6651D"/>
    <w:rsid w:val="5AC37F19"/>
    <w:rsid w:val="5B2F1B85"/>
    <w:rsid w:val="5B850373"/>
    <w:rsid w:val="5BAC0CF2"/>
    <w:rsid w:val="5DF516EA"/>
    <w:rsid w:val="5FFB56C3"/>
    <w:rsid w:val="62524AE8"/>
    <w:rsid w:val="65A3018B"/>
    <w:rsid w:val="66096F8C"/>
    <w:rsid w:val="6B181FAD"/>
    <w:rsid w:val="6B2A6DA3"/>
    <w:rsid w:val="6B7821DD"/>
    <w:rsid w:val="6BE27A8E"/>
    <w:rsid w:val="6C42076D"/>
    <w:rsid w:val="6FAD1B03"/>
    <w:rsid w:val="709178DA"/>
    <w:rsid w:val="70C2529D"/>
    <w:rsid w:val="73AB591E"/>
    <w:rsid w:val="743B4691"/>
    <w:rsid w:val="74CD3CE2"/>
    <w:rsid w:val="79A37A99"/>
    <w:rsid w:val="7A5233DB"/>
    <w:rsid w:val="7AF7241D"/>
    <w:rsid w:val="7DB66F4E"/>
    <w:rsid w:val="7FAB0869"/>
    <w:rsid w:val="7FC7131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2020-03-03T14:29:00Z</dcterms:created>
  <dc:creator>Administrator</dc:creator>
  <cp:lastModifiedBy>Administrator</cp:lastModifiedBy>
  <dcterms:modified xsi:type="dcterms:W3CDTF">2020-07-01T11:51:29Z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