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rPr>
      </w:pPr>
      <w:bookmarkStart w:id="0" w:name="_Toc14042"/>
      <w:r>
        <w:rPr>
          <w:rFonts w:hint="eastAsia" w:eastAsia="方正小标宋简体"/>
          <w:b/>
          <w:color w:val="FF0000"/>
          <w:sz w:val="52"/>
          <w:szCs w:val="52"/>
          <w:lang w:val="en-US" w:eastAsia="zh-CN"/>
        </w:rPr>
        <w:t xml:space="preserve"> </w:t>
      </w:r>
      <w:r>
        <w:rPr>
          <w:rFonts w:hint="eastAsia" w:ascii="方正小标宋简体" w:hAnsi="方正小标宋简体" w:eastAsia="方正小标宋简体" w:cs="方正小标宋简体"/>
          <w:lang w:val="en-US" w:eastAsia="zh-CN"/>
        </w:rPr>
        <w:t xml:space="preserve"> </w:t>
      </w:r>
      <w:r>
        <w:rPr>
          <w:rFonts w:hint="eastAsia" w:ascii="方正小标宋简体" w:hAnsi="方正小标宋简体" w:eastAsia="方正小标宋简体" w:cs="方正小标宋简体"/>
        </w:rPr>
        <w:t>20</w:t>
      </w:r>
      <w:r>
        <w:rPr>
          <w:rFonts w:hint="eastAsia" w:ascii="方正小标宋简体" w:hAnsi="方正小标宋简体" w:eastAsia="方正小标宋简体" w:cs="方正小标宋简体"/>
          <w:lang w:val="en-US" w:eastAsia="zh-CN"/>
        </w:rPr>
        <w:t>20</w:t>
      </w:r>
      <w:r>
        <w:rPr>
          <w:rFonts w:hint="eastAsia" w:ascii="方正小标宋简体" w:hAnsi="方正小标宋简体" w:eastAsia="方正小标宋简体" w:cs="方正小标宋简体"/>
        </w:rPr>
        <w:t>年岑溪市引进高层次（紧缺)人才目录</w:t>
      </w:r>
      <w:bookmarkEnd w:id="0"/>
    </w:p>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仿宋" w:hAnsi="仿宋" w:eastAsia="仿宋" w:cs="仿宋"/>
          <w:b w:val="0"/>
          <w:bCs w:val="0"/>
          <w:sz w:val="32"/>
          <w:szCs w:val="32"/>
          <w:lang w:val="en-US" w:eastAsia="zh-CN"/>
        </w:rPr>
      </w:pPr>
    </w:p>
    <w:tbl>
      <w:tblPr>
        <w:tblStyle w:val="7"/>
        <w:tblW w:w="13805"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
        <w:gridCol w:w="447"/>
        <w:gridCol w:w="1294"/>
        <w:gridCol w:w="1597"/>
        <w:gridCol w:w="4269"/>
        <w:gridCol w:w="675"/>
        <w:gridCol w:w="5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blHeader/>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序号</w:t>
            </w:r>
          </w:p>
        </w:tc>
        <w:tc>
          <w:tcPr>
            <w:tcW w:w="12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需求部门</w:t>
            </w: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专业类别</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专业名称</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人数</w:t>
            </w:r>
          </w:p>
        </w:tc>
        <w:tc>
          <w:tcPr>
            <w:tcW w:w="551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学历、职称要求(具备以下条件之一)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12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市直单位</w:t>
            </w:r>
          </w:p>
        </w:tc>
        <w:tc>
          <w:tcPr>
            <w:tcW w:w="159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经济学类、会计与审计类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经济学类、会计与审计类</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w:t>
            </w:r>
          </w:p>
        </w:tc>
        <w:tc>
          <w:tcPr>
            <w:tcW w:w="5517"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1.具有硕士研究生以上学历学位。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2.具有一流大学建设高校的全日制本科以上学历学位，或具有一流学科建设高校的一流建设学科的全日制本科以上学历学位。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3.具有全日制本科以上学历学位且具有中级以上专业技术职称，具有3年以上相关行业工作经验。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4.具有副高及以上专业技术职称。</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(“双一流”大学毕业生、拥有行业内最高等级的国家注册类执业资格、有相关行业3年以上工作经验者优先。)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工商管理类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旅游管理</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551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1"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土建类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市政工程、给排水工程、城市地下空间工程</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551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12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市直单位</w:t>
            </w: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土建类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城乡规划、土木工程、消防工程、工程质量监督与管理</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1.具有硕士研究生以上学历学位。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2.具有一流大学建设高校的全日制本科以上学历学位，或具有一流学科建设高校的一流建设学科的全日制本科以上学历学位。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3.具有全日制本科以上学历学位且具有中级以上专业技术职称，具有3年以上相关行业工作经验。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4.具有副高及以上专业技术职称。</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(“双一流”大学毕业生、拥有行业内最高等级的国家注册类执业资格、有相关行业3年以上工作经验者优先。)</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水利类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水文学与水资源，水力学及河流动力学，水工结构工程，水利水电工程，水利水电建设工程管理，生态水利学，城市水务，水灾害与水安全，水文地质学</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551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交通运输、</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土建类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交通运输规划与管理，交通运输工程</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551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材料及冶金类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功能材料加工制备及性能研究、</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材料加工工程、有色金属冶金</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551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林学和林业工程类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林学和林业工程类</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551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植物生产及技术类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植物生产及技术类</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551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12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市直单位</w:t>
            </w: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计算机科学与技术类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计算机科学与技术类</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5517"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1.具有硕士研究生以上学历学位。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2.具有一流大学建设高校的全日制本科以上学历学位，或具有一流学科建设高校的一流建设学科的全日制本科以上学历学位。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3.具有全日制本科以上学历学位且具有副高级及以上专业技术职称。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法学类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宪法学与行政法学，民法学，刑事诉讼法学，行政诉讼法学，法学理论，刑法学，民商法学，诉讼法学，经济法学，环境与资源保护法学，法律硕士</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硕士研究生以上学历学位，通过司法考试C证以上或者具有法律相关行业2年以上从业经历。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体育学类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体育学类</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w:t>
            </w:r>
          </w:p>
        </w:tc>
        <w:tc>
          <w:tcPr>
            <w:tcW w:w="5517"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    全日制本科以上学历学位,省级优秀运动队正式招工在训3年以上（含3年，在训项目与招聘岗位一致），或省级以上足球专业队退役运动员，或国家二级运动员及以上，35岁以下。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体育学类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体育学类</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w:t>
            </w:r>
          </w:p>
        </w:tc>
        <w:tc>
          <w:tcPr>
            <w:tcW w:w="5517"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    全日制本科以上学历学位,省级优秀运动队正式招工在训3年以上（含3年，在训项目与招聘岗位一致），或省级以上篮球专业队退役运动员，或国家二级运动员及以上，35岁以下。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体育学类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体育学类</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w:t>
            </w:r>
          </w:p>
        </w:tc>
        <w:tc>
          <w:tcPr>
            <w:tcW w:w="5517"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    全日制本科以上学历学位,省级优秀运动队正式招工在训3年以上（含3年，在训项目与招聘岗位一致），或省级以上乒乓球专业队退役运动员，或国家二级运动员及以上，35岁以下。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w:t>
            </w:r>
          </w:p>
        </w:tc>
        <w:tc>
          <w:tcPr>
            <w:tcW w:w="12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市直单位</w:t>
            </w: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艺术类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汉语言文学与文化传播，文化艺术事业管理，艺术类</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5517" w:type="dxa"/>
            <w:vMerge w:val="restart"/>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1.具有硕士研究生以上学历学位。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2.具有一流大学建设高校的全日制本科以上学历学位，或具有一流学科建设高校的一流建设学科的全日制本科以上学历学位。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3.具有副高及以上专业技术职称。</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(“双一流”大学毕业生、拥有行业内最高等级的国家注册类执业资格、有相关行业3年以上工作经验者优先。)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历史学类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文物与博物馆学</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551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8"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新闻传播学类、公共管理类、政治学类、马克思主义理论类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新闻传播学类、公共管理类、政治学类、马克思主义理论类</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4</w:t>
            </w:r>
          </w:p>
        </w:tc>
        <w:tc>
          <w:tcPr>
            <w:tcW w:w="5517"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    具有硕士研究生以上学历学位。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8"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18</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不限专业</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不限专业（主持人、播音员岗位）</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w:t>
            </w:r>
          </w:p>
        </w:tc>
        <w:tc>
          <w:tcPr>
            <w:tcW w:w="5517"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    1.具有硕士研究生以上学历学位。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2.全日制本科及以上学历学位，且具有中级以上专业技术职称，普通话一级乙等及以上水平，需面试、配音、试镜（具有广播电视播音员主持人资格考试合格证者优先）。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6"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19</w:t>
            </w:r>
          </w:p>
        </w:tc>
        <w:tc>
          <w:tcPr>
            <w:tcW w:w="12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宋体"/>
                <w:kern w:val="0"/>
                <w:sz w:val="24"/>
                <w:szCs w:val="24"/>
              </w:rPr>
              <w:t>教育系统（市教育局主管）</w:t>
            </w: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中国汉语言文学及文秘类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文艺学，语言学及应用语言学，汉语言文字学，中国古代文学，中国现当代文学等语文教育相关专业</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1.硕士研究生以上学历学位（具有高级职称、省级重点中学学科带头人、特级教师、获得省级及以上政府或教育行政部门颁发的“名校长”“名师”“优秀教师”或“优秀教育工作者”荣誉称号可酌情放宽学历条件）。引进前需要试讲，具有教师资格证。</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2.教育部直属师范大学全日制本科以上学历学位，具有教师资格证，引进前需要试讲。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20</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数学类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基础数学，计算数学，概率论与数理统计，应用数学，运筹学与控制论等数学教育相关专业；</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continue"/>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21</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外国语言文学类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英语语言文学，外国语言学及应用语言学，翻译硕士，英语笔译等英语教育相关专业；</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continue"/>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8"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22</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物理学类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理论物理，粒子物理与原子核物理，原子与分子物理，等离子体物理，凝聚态物理，声学，光学，无线电物理等物理教学相关专业；</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continue"/>
            <w:tcBorders>
              <w:tl2br w:val="nil"/>
              <w:tr2bl w:val="nil"/>
            </w:tcBorders>
            <w:noWrap w:val="0"/>
            <w:tcMar>
              <w:top w:w="15" w:type="dxa"/>
              <w:left w:w="15" w:type="dxa"/>
              <w:right w:w="15" w:type="dxa"/>
            </w:tcMar>
            <w:vAlign w:val="center"/>
          </w:tcPr>
          <w:p>
            <w:pPr>
              <w:pStyle w:val="2"/>
              <w:ind w:firstLine="480" w:firstLineChars="20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3"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23</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化学类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无机化学，分析化学，有机化学，物理化学，高分子化学与物理，化学生物学，环境化学，电化学，催化化学，物构化学等化学教育相关专业；</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continue"/>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5"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w:t>
            </w:r>
          </w:p>
        </w:tc>
        <w:tc>
          <w:tcPr>
            <w:tcW w:w="12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宋体"/>
                <w:kern w:val="0"/>
                <w:sz w:val="24"/>
                <w:szCs w:val="24"/>
              </w:rPr>
              <w:t>教育系统（市教育局主管）</w:t>
            </w: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生物科学及技术类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植物学，动物学，生理学，水生生物学，微生物学，神经生物学，遗传学，发育生物学，细胞生物学，生物化学与分子生物学，生物物理学，生态学，生物医学工程等生物教育相关专业；</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restart"/>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1.硕士研究生以上学历学位（具有高级职称、省级重点中学学科带头人、特级教师、获得省级及以上政府或教育行政部门颁发的“名校长”“名师”“优秀教师”或“优秀教育工作者”荣誉称号可酌情放宽学历条件）。引进前需要试讲，具有教师资格证。</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2.教育部直属师范大学全日制本科以上学历学位，具有教师资格证，引进前需要试讲。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3"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政治学类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政治学理论，中外政治制度，科学社会主义与国际共产主义运动，中共党史，马克思主义理论与思想政治教育，国际政治，国际关系，外交学等政治教育相关专业；</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continue"/>
            <w:tcBorders>
              <w:tl2br w:val="nil"/>
              <w:tr2bl w:val="nil"/>
            </w:tcBorders>
            <w:noWrap w:val="0"/>
            <w:tcMar>
              <w:top w:w="15" w:type="dxa"/>
              <w:left w:w="15" w:type="dxa"/>
              <w:right w:w="15" w:type="dxa"/>
            </w:tcMar>
            <w:vAlign w:val="center"/>
          </w:tcPr>
          <w:p>
            <w:pPr>
              <w:ind w:firstLine="480" w:firstLineChars="200"/>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8"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历史学类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史学理论及史学史，考古学及博物馆学，历史地理学，历史文献学，专门史，中国古代史，中国近现代史，世界史，文化人类学，海洋史学等历史教育相关专业；</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5517" w:type="dxa"/>
            <w:vMerge w:val="continue"/>
            <w:tcBorders>
              <w:tl2br w:val="nil"/>
              <w:tr2bl w:val="nil"/>
            </w:tcBorders>
            <w:noWrap w:val="0"/>
            <w:tcMar>
              <w:top w:w="15" w:type="dxa"/>
              <w:left w:w="15" w:type="dxa"/>
              <w:right w:w="15" w:type="dxa"/>
            </w:tcMar>
            <w:vAlign w:val="center"/>
          </w:tcPr>
          <w:p>
            <w:pPr>
              <w:ind w:firstLine="480" w:firstLineChars="200"/>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地理科学类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自然地理学，人文地理学，地图学与地理信息系统等地理教育</w:t>
            </w:r>
            <w:bookmarkStart w:id="1" w:name="_GoBack"/>
            <w:bookmarkEnd w:id="1"/>
            <w:r>
              <w:rPr>
                <w:rFonts w:hint="eastAsia" w:ascii="仿宋" w:hAnsi="仿宋" w:eastAsia="仿宋" w:cs="仿宋"/>
                <w:i w:val="0"/>
                <w:color w:val="000000"/>
                <w:kern w:val="0"/>
                <w:sz w:val="24"/>
                <w:szCs w:val="24"/>
                <w:u w:val="none"/>
                <w:lang w:val="en-US" w:eastAsia="zh-CN" w:bidi="ar"/>
              </w:rPr>
              <w:t>相关专业。</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5517" w:type="dxa"/>
            <w:vMerge w:val="continue"/>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w:t>
            </w:r>
          </w:p>
        </w:tc>
        <w:tc>
          <w:tcPr>
            <w:tcW w:w="129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eastAsia="zh-CN"/>
              </w:rPr>
              <w:t>医疗</w:t>
            </w:r>
            <w:r>
              <w:rPr>
                <w:rFonts w:hint="eastAsia" w:ascii="仿宋" w:hAnsi="仿宋" w:eastAsia="仿宋" w:cs="宋体"/>
                <w:kern w:val="0"/>
                <w:sz w:val="24"/>
                <w:szCs w:val="24"/>
              </w:rPr>
              <w:t>系统（市卫生健康局主管）</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临床医学与医学技术类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内科学</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1.硕士研究生以上学历学位；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2.全日制本科以上学历学位，具有执业医师资格，具有副高级及以上专业技术资格。</w:t>
            </w:r>
          </w:p>
          <w:p>
            <w:pPr>
              <w:jc w:val="left"/>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外科学</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continue"/>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30</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妇产科学</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continue"/>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31</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麻醉学</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continue"/>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32</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5517" w:type="dxa"/>
            <w:vMerge w:val="continue"/>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33</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医学影像学</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5517" w:type="dxa"/>
            <w:vMerge w:val="continue"/>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34</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儿科学</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continue"/>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35</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中西医临床医学，中西医临床</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continue"/>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36</w:t>
            </w:r>
          </w:p>
        </w:tc>
        <w:tc>
          <w:tcPr>
            <w:tcW w:w="1294"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中医学类</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中医学类</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5517" w:type="dxa"/>
            <w:vMerge w:val="continue"/>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3"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37</w:t>
            </w:r>
          </w:p>
        </w:tc>
        <w:tc>
          <w:tcPr>
            <w:tcW w:w="129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市直单位</w:t>
            </w:r>
          </w:p>
        </w:tc>
        <w:tc>
          <w:tcPr>
            <w:tcW w:w="159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不限专业</w:t>
            </w:r>
          </w:p>
        </w:tc>
        <w:tc>
          <w:tcPr>
            <w:tcW w:w="42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不限专业</w:t>
            </w:r>
          </w:p>
        </w:tc>
        <w:tc>
          <w:tcPr>
            <w:tcW w:w="6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5517" w:type="dxa"/>
            <w:tcBorders>
              <w:tl2br w:val="nil"/>
              <w:tr2bl w:val="nil"/>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具有一流大学建设高校的硕士研究生以上学历学位，或具有一流学科建设高校一流建设学科的硕士研究生以上学历学位。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642" w:hRule="atLeast"/>
        </w:trPr>
        <w:tc>
          <w:tcPr>
            <w:tcW w:w="13799" w:type="dxa"/>
            <w:gridSpan w:val="6"/>
            <w:tcBorders>
              <w:tl2br w:val="nil"/>
              <w:tr2bl w:val="nil"/>
            </w:tcBorders>
            <w:noWrap/>
            <w:vAlign w:val="center"/>
          </w:tcPr>
          <w:p>
            <w:pPr>
              <w:widowControl/>
              <w:spacing w:line="340" w:lineRule="exact"/>
              <w:ind w:firstLine="480" w:firstLineChars="200"/>
              <w:jc w:val="left"/>
              <w:rPr>
                <w:rFonts w:hint="eastAsia" w:ascii="仿宋" w:hAnsi="仿宋" w:eastAsia="仿宋" w:cs="宋体"/>
                <w:kern w:val="0"/>
                <w:sz w:val="24"/>
                <w:szCs w:val="24"/>
              </w:rPr>
            </w:pPr>
            <w:r>
              <w:rPr>
                <w:rFonts w:hint="eastAsia" w:ascii="仿宋" w:hAnsi="仿宋" w:eastAsia="仿宋" w:cs="宋体"/>
                <w:kern w:val="0"/>
                <w:sz w:val="24"/>
                <w:szCs w:val="24"/>
              </w:rPr>
              <w:t>备注：以上合计</w:t>
            </w:r>
            <w:r>
              <w:rPr>
                <w:rFonts w:hint="eastAsia" w:ascii="仿宋" w:hAnsi="仿宋" w:eastAsia="仿宋" w:cs="宋体"/>
                <w:kern w:val="0"/>
                <w:sz w:val="24"/>
                <w:szCs w:val="24"/>
                <w:lang w:val="en-US" w:eastAsia="zh-CN"/>
              </w:rPr>
              <w:t>62</w:t>
            </w:r>
            <w:r>
              <w:rPr>
                <w:rFonts w:hint="eastAsia" w:ascii="仿宋" w:hAnsi="仿宋" w:eastAsia="仿宋" w:cs="宋体"/>
                <w:kern w:val="0"/>
                <w:sz w:val="24"/>
                <w:szCs w:val="24"/>
              </w:rPr>
              <w:t>人，由市委人才工作领导小组办公室统一引进。</w:t>
            </w:r>
          </w:p>
        </w:tc>
      </w:tr>
    </w:tbl>
    <w:p>
      <w:pPr>
        <w:spacing w:line="560" w:lineRule="exact"/>
        <w:rPr>
          <w:rFonts w:hint="eastAsia" w:ascii="仿宋_GB2312" w:eastAsia="仿宋_GB2312"/>
          <w:sz w:val="32"/>
          <w:szCs w:val="32"/>
        </w:rPr>
        <w:sectPr>
          <w:headerReference r:id="rId3" w:type="default"/>
          <w:footerReference r:id="rId4" w:type="default"/>
          <w:pgSz w:w="16783" w:h="11850" w:orient="landscape"/>
          <w:pgMar w:top="2211" w:right="1531" w:bottom="1531" w:left="1531" w:header="851" w:footer="992" w:gutter="0"/>
          <w:cols w:space="425" w:num="1"/>
          <w:docGrid w:type="lines" w:linePitch="312" w:charSpace="0"/>
        </w:sectPr>
      </w:pPr>
    </w:p>
    <w:p>
      <w:pPr>
        <w:rPr>
          <w:rFonts w:hint="eastAsia" w:eastAsia="宋体"/>
          <w:lang w:val="en-US" w:eastAsia="zh-CN"/>
        </w:rPr>
      </w:pPr>
      <w:r>
        <w:rPr>
          <w:rFonts w:hint="eastAsia" w:eastAsia="仿宋_GB2312"/>
          <w:lang w:val="en-US" w:eastAsia="zh-CN"/>
        </w:rPr>
        <w:t xml:space="preserve"> </w:t>
      </w:r>
      <w:r>
        <w:rPr>
          <w:rFonts w:hint="eastAsia" w:ascii="仿宋_GB2312" w:eastAsia="仿宋_GB2312"/>
          <w:sz w:val="32"/>
          <w:szCs w:val="32"/>
          <w:lang w:val="en-US" w:eastAsia="zh-CN"/>
        </w:rPr>
        <w:t xml:space="preserve"> </w:t>
      </w:r>
    </w:p>
    <w:sectPr>
      <w:pgSz w:w="11850" w:h="16783"/>
      <w:pgMar w:top="1531" w:right="1531" w:bottom="1531" w:left="221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Style w:val="10"/>
                              <w:rFonts w:ascii="Times New Roman" w:hAnsi="Times New Roman"/>
                              <w:sz w:val="28"/>
                              <w:szCs w:val="28"/>
                            </w:rPr>
                            <w:t xml:space="preserve">— </w:t>
                          </w:r>
                          <w:r>
                            <w:rPr>
                              <w:rFonts w:ascii="Times New Roman" w:hAnsi="Times New Roman"/>
                              <w:sz w:val="28"/>
                              <w:szCs w:val="28"/>
                            </w:rPr>
                            <w:fldChar w:fldCharType="begin"/>
                          </w:r>
                          <w:r>
                            <w:rPr>
                              <w:rStyle w:val="10"/>
                              <w:rFonts w:ascii="Times New Roman" w:hAnsi="Times New Roman"/>
                              <w:sz w:val="28"/>
                              <w:szCs w:val="28"/>
                            </w:rPr>
                            <w:instrText xml:space="preserve">PAGE  </w:instrText>
                          </w:r>
                          <w:r>
                            <w:rPr>
                              <w:rFonts w:ascii="Times New Roman" w:hAnsi="Times New Roman"/>
                              <w:sz w:val="28"/>
                              <w:szCs w:val="28"/>
                            </w:rPr>
                            <w:fldChar w:fldCharType="separate"/>
                          </w:r>
                          <w:r>
                            <w:rPr>
                              <w:rStyle w:val="10"/>
                              <w:rFonts w:ascii="Times New Roman" w:hAnsi="Times New Roman"/>
                              <w:sz w:val="28"/>
                              <w:szCs w:val="28"/>
                            </w:rPr>
                            <w:t>1</w:t>
                          </w:r>
                          <w:r>
                            <w:rPr>
                              <w:rFonts w:ascii="Times New Roman" w:hAnsi="Times New Roman"/>
                              <w:sz w:val="28"/>
                              <w:szCs w:val="28"/>
                            </w:rPr>
                            <w:fldChar w:fldCharType="end"/>
                          </w:r>
                          <w:r>
                            <w:rPr>
                              <w:rStyle w:val="10"/>
                              <w:rFonts w:ascii="Times New Roman" w:hAnsi="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宋体"/>
                        <w:lang w:eastAsia="zh-CN"/>
                      </w:rPr>
                    </w:pPr>
                    <w:r>
                      <w:rPr>
                        <w:rStyle w:val="10"/>
                        <w:rFonts w:ascii="Times New Roman" w:hAnsi="Times New Roman"/>
                        <w:sz w:val="28"/>
                        <w:szCs w:val="28"/>
                      </w:rPr>
                      <w:t xml:space="preserve">— </w:t>
                    </w:r>
                    <w:r>
                      <w:rPr>
                        <w:rFonts w:ascii="Times New Roman" w:hAnsi="Times New Roman"/>
                        <w:sz w:val="28"/>
                        <w:szCs w:val="28"/>
                      </w:rPr>
                      <w:fldChar w:fldCharType="begin"/>
                    </w:r>
                    <w:r>
                      <w:rPr>
                        <w:rStyle w:val="10"/>
                        <w:rFonts w:ascii="Times New Roman" w:hAnsi="Times New Roman"/>
                        <w:sz w:val="28"/>
                        <w:szCs w:val="28"/>
                      </w:rPr>
                      <w:instrText xml:space="preserve">PAGE  </w:instrText>
                    </w:r>
                    <w:r>
                      <w:rPr>
                        <w:rFonts w:ascii="Times New Roman" w:hAnsi="Times New Roman"/>
                        <w:sz w:val="28"/>
                        <w:szCs w:val="28"/>
                      </w:rPr>
                      <w:fldChar w:fldCharType="separate"/>
                    </w:r>
                    <w:r>
                      <w:rPr>
                        <w:rStyle w:val="10"/>
                        <w:rFonts w:ascii="Times New Roman" w:hAnsi="Times New Roman"/>
                        <w:sz w:val="28"/>
                        <w:szCs w:val="28"/>
                      </w:rPr>
                      <w:t>1</w:t>
                    </w:r>
                    <w:r>
                      <w:rPr>
                        <w:rFonts w:ascii="Times New Roman" w:hAnsi="Times New Roman"/>
                        <w:sz w:val="28"/>
                        <w:szCs w:val="28"/>
                      </w:rPr>
                      <w:fldChar w:fldCharType="end"/>
                    </w:r>
                    <w:r>
                      <w:rPr>
                        <w:rStyle w:val="10"/>
                        <w:rFonts w:ascii="Times New Roman" w:hAnsi="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F5769"/>
    <w:rsid w:val="119838A8"/>
    <w:rsid w:val="11A10EA3"/>
    <w:rsid w:val="16E10874"/>
    <w:rsid w:val="17672609"/>
    <w:rsid w:val="24A76FF3"/>
    <w:rsid w:val="2EDE668A"/>
    <w:rsid w:val="34B77C92"/>
    <w:rsid w:val="4B1B1AC0"/>
    <w:rsid w:val="592F5769"/>
    <w:rsid w:val="62936363"/>
    <w:rsid w:val="6BBD22F8"/>
    <w:rsid w:val="70E72A48"/>
    <w:rsid w:val="78D07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link w:val="9"/>
    <w:semiHidden/>
    <w:qFormat/>
    <w:uiPriority w:val="0"/>
    <w:rPr>
      <w:rFonts w:ascii="Times New Roman" w:hAnsi="Times New Roman"/>
      <w:szCs w:val="21"/>
    </w:rPr>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微软雅黑" w:hAnsi="Calibri" w:eastAsia="微软雅黑" w:cs="Times New Roman"/>
      <w:color w:val="000000"/>
      <w:sz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9">
    <w:name w:val=" Char"/>
    <w:basedOn w:val="1"/>
    <w:link w:val="8"/>
    <w:qFormat/>
    <w:uiPriority w:val="0"/>
    <w:rPr>
      <w:rFonts w:ascii="Times New Roman" w:hAnsi="Times New Roman"/>
      <w:szCs w:val="21"/>
    </w:rPr>
  </w:style>
  <w:style w:type="character" w:styleId="10">
    <w:name w:val="page number"/>
    <w:basedOn w:val="8"/>
    <w:qFormat/>
    <w:uiPriority w:val="0"/>
  </w:style>
  <w:style w:type="character" w:customStyle="1" w:styleId="11">
    <w:name w:val="font71"/>
    <w:basedOn w:val="8"/>
    <w:qFormat/>
    <w:uiPriority w:val="0"/>
    <w:rPr>
      <w:rFonts w:hint="eastAsia" w:ascii="仿宋_GB2312" w:eastAsia="仿宋_GB2312" w:cs="仿宋_GB2312"/>
      <w:color w:val="000000"/>
      <w:sz w:val="28"/>
      <w:szCs w:val="28"/>
      <w:u w:val="none"/>
    </w:rPr>
  </w:style>
  <w:style w:type="character" w:customStyle="1" w:styleId="12">
    <w:name w:val="font41"/>
    <w:basedOn w:val="8"/>
    <w:qFormat/>
    <w:uiPriority w:val="0"/>
    <w:rPr>
      <w:rFonts w:hint="eastAsia" w:ascii="仿宋" w:hAnsi="仿宋" w:eastAsia="仿宋" w:cs="仿宋"/>
      <w:color w:val="000000"/>
      <w:sz w:val="24"/>
      <w:szCs w:val="24"/>
      <w:u w:val="none"/>
    </w:rPr>
  </w:style>
  <w:style w:type="character" w:customStyle="1" w:styleId="13">
    <w:name w:val="font21"/>
    <w:basedOn w:val="8"/>
    <w:qFormat/>
    <w:uiPriority w:val="0"/>
    <w:rPr>
      <w:rFonts w:hint="eastAsia" w:ascii="仿宋_GB2312" w:eastAsia="仿宋_GB2312" w:cs="仿宋_GB2312"/>
      <w:color w:val="000000"/>
      <w:sz w:val="24"/>
      <w:szCs w:val="24"/>
      <w:u w:val="none"/>
    </w:rPr>
  </w:style>
  <w:style w:type="paragraph" w:customStyle="1" w:styleId="14">
    <w:name w:val="样式1"/>
    <w:basedOn w:val="1"/>
    <w:qFormat/>
    <w:uiPriority w:val="0"/>
    <w:pPr>
      <w:ind w:firstLine="640" w:firstLineChars="200"/>
    </w:pPr>
    <w:rPr>
      <w:rFonts w:ascii="Times New Roman" w:hAnsi="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2020-02-12T04:00:00Z</dcterms:created>
  <dc:creator>劶比</dc:creator>
  <cp:lastModifiedBy>阿斌哥</cp:lastModifiedBy>
  <dcterms:modified xsi:type="dcterms:W3CDTF">2020-06-28T01:36:33Z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