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601" w:type="dxa"/>
        <w:tblInd w:w="93" w:type="dxa"/>
        <w:tblLayout w:type="fixed"/>
        <w:tblCellMar>
          <w:top w:w="0" w:type="dxa"/>
          <w:left w:w="108" w:type="dxa"/>
          <w:bottom w:w="0" w:type="dxa"/>
          <w:right w:w="108" w:type="dxa"/>
        </w:tblCellMar>
      </w:tblPr>
      <w:tblGrid>
        <w:gridCol w:w="456"/>
        <w:gridCol w:w="294"/>
        <w:gridCol w:w="2091"/>
        <w:gridCol w:w="840"/>
        <w:gridCol w:w="1110"/>
        <w:gridCol w:w="750"/>
        <w:gridCol w:w="711"/>
        <w:gridCol w:w="39"/>
        <w:gridCol w:w="975"/>
        <w:gridCol w:w="262"/>
        <w:gridCol w:w="302"/>
        <w:gridCol w:w="546"/>
        <w:gridCol w:w="2970"/>
        <w:gridCol w:w="345"/>
        <w:gridCol w:w="415"/>
        <w:gridCol w:w="1055"/>
        <w:gridCol w:w="440"/>
      </w:tblGrid>
      <w:tr>
        <w:tblPrEx>
          <w:tblCellMar>
            <w:top w:w="0" w:type="dxa"/>
            <w:left w:w="108" w:type="dxa"/>
            <w:bottom w:w="0" w:type="dxa"/>
            <w:right w:w="108" w:type="dxa"/>
          </w:tblCellMar>
        </w:tblPrEx>
        <w:trPr>
          <w:trHeight w:val="474" w:hRule="exact"/>
        </w:trPr>
        <w:tc>
          <w:tcPr>
            <w:tcW w:w="2841" w:type="dxa"/>
            <w:gridSpan w:val="3"/>
            <w:tcBorders>
              <w:top w:val="nil"/>
              <w:left w:val="nil"/>
              <w:bottom w:val="nil"/>
              <w:right w:val="nil"/>
            </w:tcBorders>
            <w:noWrap/>
            <w:vAlign w:val="center"/>
          </w:tcPr>
          <w:p>
            <w:pPr>
              <w:widowControl/>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w:t>
            </w:r>
          </w:p>
        </w:tc>
        <w:tc>
          <w:tcPr>
            <w:tcW w:w="840" w:type="dxa"/>
            <w:tcBorders>
              <w:top w:val="nil"/>
              <w:left w:val="nil"/>
              <w:bottom w:val="nil"/>
              <w:right w:val="nil"/>
            </w:tcBorders>
            <w:noWrap/>
            <w:vAlign w:val="center"/>
          </w:tcPr>
          <w:p>
            <w:pPr>
              <w:widowControl/>
              <w:jc w:val="center"/>
              <w:rPr>
                <w:rFonts w:ascii="宋体" w:hAnsi="宋体" w:cs="宋体"/>
                <w:color w:val="000000"/>
                <w:kern w:val="0"/>
                <w:sz w:val="22"/>
              </w:rPr>
            </w:pPr>
          </w:p>
        </w:tc>
        <w:tc>
          <w:tcPr>
            <w:tcW w:w="1110" w:type="dxa"/>
            <w:tcBorders>
              <w:top w:val="nil"/>
              <w:left w:val="nil"/>
              <w:bottom w:val="nil"/>
              <w:right w:val="nil"/>
            </w:tcBorders>
            <w:noWrap/>
            <w:vAlign w:val="center"/>
          </w:tcPr>
          <w:p>
            <w:pPr>
              <w:widowControl/>
              <w:jc w:val="center"/>
              <w:rPr>
                <w:rFonts w:ascii="宋体" w:hAnsi="宋体" w:cs="宋体"/>
                <w:color w:val="000000"/>
                <w:kern w:val="0"/>
                <w:sz w:val="22"/>
              </w:rPr>
            </w:pPr>
          </w:p>
        </w:tc>
        <w:tc>
          <w:tcPr>
            <w:tcW w:w="750" w:type="dxa"/>
            <w:tcBorders>
              <w:top w:val="nil"/>
              <w:left w:val="nil"/>
              <w:bottom w:val="nil"/>
              <w:right w:val="nil"/>
            </w:tcBorders>
            <w:noWrap w:val="0"/>
            <w:vAlign w:val="top"/>
          </w:tcPr>
          <w:p>
            <w:pPr>
              <w:widowControl/>
              <w:jc w:val="center"/>
              <w:rPr>
                <w:rFonts w:ascii="宋体" w:hAnsi="宋体" w:cs="宋体"/>
                <w:color w:val="000000"/>
                <w:kern w:val="0"/>
                <w:sz w:val="22"/>
              </w:rPr>
            </w:pPr>
          </w:p>
        </w:tc>
        <w:tc>
          <w:tcPr>
            <w:tcW w:w="750" w:type="dxa"/>
            <w:gridSpan w:val="2"/>
            <w:tcBorders>
              <w:top w:val="nil"/>
              <w:left w:val="nil"/>
              <w:bottom w:val="nil"/>
              <w:right w:val="nil"/>
            </w:tcBorders>
            <w:noWrap/>
            <w:vAlign w:val="center"/>
          </w:tcPr>
          <w:p>
            <w:pPr>
              <w:widowControl/>
              <w:jc w:val="center"/>
              <w:rPr>
                <w:rFonts w:ascii="宋体" w:hAnsi="宋体" w:cs="宋体"/>
                <w:color w:val="000000"/>
                <w:kern w:val="0"/>
                <w:sz w:val="22"/>
              </w:rPr>
            </w:pPr>
          </w:p>
        </w:tc>
        <w:tc>
          <w:tcPr>
            <w:tcW w:w="975" w:type="dxa"/>
            <w:tcBorders>
              <w:top w:val="nil"/>
              <w:left w:val="nil"/>
              <w:bottom w:val="nil"/>
              <w:right w:val="nil"/>
            </w:tcBorders>
            <w:noWrap/>
            <w:vAlign w:val="center"/>
          </w:tcPr>
          <w:p>
            <w:pPr>
              <w:widowControl/>
              <w:jc w:val="center"/>
              <w:rPr>
                <w:rFonts w:ascii="宋体" w:hAnsi="宋体" w:cs="宋体"/>
                <w:color w:val="000000"/>
                <w:kern w:val="0"/>
                <w:sz w:val="22"/>
              </w:rPr>
            </w:pPr>
          </w:p>
        </w:tc>
        <w:tc>
          <w:tcPr>
            <w:tcW w:w="564" w:type="dxa"/>
            <w:gridSpan w:val="2"/>
            <w:tcBorders>
              <w:top w:val="nil"/>
              <w:left w:val="nil"/>
              <w:bottom w:val="nil"/>
              <w:right w:val="nil"/>
            </w:tcBorders>
            <w:noWrap/>
            <w:vAlign w:val="center"/>
          </w:tcPr>
          <w:p>
            <w:pPr>
              <w:widowControl/>
              <w:jc w:val="center"/>
              <w:rPr>
                <w:rFonts w:ascii="宋体" w:hAnsi="宋体" w:cs="宋体"/>
                <w:color w:val="000000"/>
                <w:kern w:val="0"/>
                <w:sz w:val="22"/>
              </w:rPr>
            </w:pPr>
          </w:p>
        </w:tc>
        <w:tc>
          <w:tcPr>
            <w:tcW w:w="3516" w:type="dxa"/>
            <w:gridSpan w:val="2"/>
            <w:tcBorders>
              <w:top w:val="nil"/>
              <w:left w:val="nil"/>
              <w:bottom w:val="nil"/>
              <w:right w:val="nil"/>
            </w:tcBorders>
            <w:noWrap/>
            <w:vAlign w:val="center"/>
          </w:tcPr>
          <w:p>
            <w:pPr>
              <w:widowControl/>
              <w:jc w:val="center"/>
              <w:rPr>
                <w:rFonts w:ascii="宋体" w:hAnsi="宋体" w:cs="宋体"/>
                <w:color w:val="000000"/>
                <w:kern w:val="0"/>
                <w:sz w:val="22"/>
              </w:rPr>
            </w:pPr>
          </w:p>
        </w:tc>
        <w:tc>
          <w:tcPr>
            <w:tcW w:w="760" w:type="dxa"/>
            <w:gridSpan w:val="2"/>
            <w:tcBorders>
              <w:top w:val="nil"/>
              <w:left w:val="nil"/>
              <w:bottom w:val="nil"/>
              <w:right w:val="nil"/>
            </w:tcBorders>
            <w:noWrap/>
            <w:vAlign w:val="center"/>
          </w:tcPr>
          <w:p>
            <w:pPr>
              <w:widowControl/>
              <w:jc w:val="center"/>
              <w:rPr>
                <w:rFonts w:ascii="宋体" w:hAnsi="宋体" w:cs="宋体"/>
                <w:color w:val="000000"/>
                <w:kern w:val="0"/>
                <w:sz w:val="22"/>
              </w:rPr>
            </w:pPr>
          </w:p>
        </w:tc>
        <w:tc>
          <w:tcPr>
            <w:tcW w:w="1495" w:type="dxa"/>
            <w:gridSpan w:val="2"/>
            <w:tcBorders>
              <w:top w:val="nil"/>
              <w:left w:val="nil"/>
              <w:bottom w:val="nil"/>
              <w:right w:val="nil"/>
            </w:tcBorders>
            <w:noWrap/>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497" w:hRule="atLeast"/>
        </w:trPr>
        <w:tc>
          <w:tcPr>
            <w:tcW w:w="750" w:type="dxa"/>
            <w:gridSpan w:val="2"/>
            <w:tcBorders>
              <w:top w:val="nil"/>
              <w:left w:val="nil"/>
              <w:bottom w:val="single" w:color="auto" w:sz="4" w:space="0"/>
              <w:right w:val="nil"/>
            </w:tcBorders>
            <w:noWrap w:val="0"/>
            <w:vAlign w:val="top"/>
          </w:tcPr>
          <w:p>
            <w:pPr>
              <w:widowControl/>
              <w:spacing w:line="400" w:lineRule="exact"/>
              <w:jc w:val="center"/>
              <w:rPr>
                <w:rFonts w:hint="eastAsia" w:ascii="黑体" w:eastAsia="黑体"/>
                <w:sz w:val="36"/>
                <w:szCs w:val="36"/>
              </w:rPr>
            </w:pPr>
          </w:p>
        </w:tc>
        <w:tc>
          <w:tcPr>
            <w:tcW w:w="12851" w:type="dxa"/>
            <w:gridSpan w:val="15"/>
            <w:tcBorders>
              <w:top w:val="nil"/>
              <w:left w:val="nil"/>
              <w:bottom w:val="single" w:color="auto" w:sz="4" w:space="0"/>
              <w:right w:val="nil"/>
            </w:tcBorders>
            <w:noWrap/>
            <w:vAlign w:val="center"/>
          </w:tcPr>
          <w:p>
            <w:pPr>
              <w:widowControl/>
              <w:spacing w:line="400" w:lineRule="exact"/>
              <w:jc w:val="center"/>
              <w:rPr>
                <w:rFonts w:hint="eastAsia" w:ascii="黑体" w:hAnsi="宋体" w:eastAsia="黑体" w:cs="宋体"/>
                <w:color w:val="000000"/>
                <w:kern w:val="0"/>
                <w:sz w:val="36"/>
                <w:szCs w:val="36"/>
              </w:rPr>
            </w:pPr>
            <w:bookmarkStart w:id="0" w:name="_GoBack"/>
            <w:r>
              <w:rPr>
                <w:rFonts w:hint="eastAsia" w:ascii="黑体" w:eastAsia="黑体"/>
                <w:sz w:val="36"/>
                <w:szCs w:val="36"/>
              </w:rPr>
              <w:t>赣州市生态环境局面向社会公开考核招聘事业单位工作人员岗位情况表</w:t>
            </w:r>
            <w:bookmarkEnd w:id="0"/>
          </w:p>
        </w:tc>
      </w:tr>
      <w:tr>
        <w:tblPrEx>
          <w:tblCellMar>
            <w:top w:w="0" w:type="dxa"/>
            <w:left w:w="108" w:type="dxa"/>
            <w:bottom w:w="0" w:type="dxa"/>
            <w:right w:w="108" w:type="dxa"/>
          </w:tblCellMar>
        </w:tblPrEx>
        <w:trPr>
          <w:trHeight w:val="402" w:hRule="atLeast"/>
        </w:trPr>
        <w:tc>
          <w:tcPr>
            <w:tcW w:w="4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238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招聘单位</w:t>
            </w: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招聘岗位名称</w:t>
            </w:r>
          </w:p>
        </w:tc>
        <w:tc>
          <w:tcPr>
            <w:tcW w:w="11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岗位代码</w:t>
            </w:r>
          </w:p>
        </w:tc>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招聘人数</w:t>
            </w: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_GB2312" w:hAnsi="宋体" w:eastAsia="Times New Roman" w:cs="宋体"/>
                <w:b/>
                <w:bCs/>
                <w:kern w:val="0"/>
                <w:sz w:val="24"/>
              </w:rPr>
            </w:pPr>
            <w:r>
              <w:rPr>
                <w:rFonts w:ascii="??_GB2312" w:hAnsi="宋体" w:eastAsia="Times New Roman" w:cs="宋体"/>
                <w:b/>
                <w:bCs/>
                <w:kern w:val="0"/>
                <w:sz w:val="24"/>
              </w:rPr>
              <w:t>招聘方式</w:t>
            </w:r>
          </w:p>
        </w:tc>
        <w:tc>
          <w:tcPr>
            <w:tcW w:w="690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报考条件</w:t>
            </w:r>
          </w:p>
        </w:tc>
        <w:tc>
          <w:tcPr>
            <w:tcW w:w="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备注</w:t>
            </w:r>
          </w:p>
        </w:tc>
      </w:tr>
      <w:tr>
        <w:tblPrEx>
          <w:tblCellMar>
            <w:top w:w="0" w:type="dxa"/>
            <w:left w:w="108" w:type="dxa"/>
            <w:bottom w:w="0" w:type="dxa"/>
            <w:right w:w="108" w:type="dxa"/>
          </w:tblCellMar>
        </w:tblPrEx>
        <w:trPr>
          <w:trHeight w:val="615" w:hRule="atLeast"/>
        </w:trPr>
        <w:tc>
          <w:tcPr>
            <w:tcW w:w="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b/>
                <w:bCs/>
                <w:color w:val="000000"/>
                <w:kern w:val="0"/>
                <w:sz w:val="24"/>
                <w:szCs w:val="24"/>
              </w:rPr>
            </w:pPr>
          </w:p>
        </w:tc>
        <w:tc>
          <w:tcPr>
            <w:tcW w:w="23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b/>
                <w:bCs/>
                <w:color w:val="000000"/>
                <w:kern w:val="0"/>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b/>
                <w:bCs/>
                <w:color w:val="000000"/>
                <w:kern w:val="0"/>
                <w:sz w:val="24"/>
                <w:szCs w:val="24"/>
              </w:rPr>
            </w:pPr>
          </w:p>
        </w:tc>
        <w:tc>
          <w:tcPr>
            <w:tcW w:w="11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b/>
                <w:bCs/>
                <w:color w:val="000000"/>
                <w:kern w:val="0"/>
                <w:sz w:val="24"/>
                <w:szCs w:val="24"/>
              </w:rPr>
            </w:pPr>
          </w:p>
        </w:tc>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b/>
                <w:bCs/>
                <w:color w:val="000000"/>
                <w:kern w:val="0"/>
                <w:sz w:val="24"/>
                <w:szCs w:val="24"/>
              </w:rPr>
            </w:pP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b/>
                <w:bCs/>
                <w:color w:val="000000"/>
                <w:kern w:val="0"/>
                <w:sz w:val="24"/>
                <w:szCs w:val="24"/>
              </w:rPr>
            </w:pP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年龄</w:t>
            </w:r>
          </w:p>
        </w:tc>
        <w:tc>
          <w:tcPr>
            <w:tcW w:w="8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auto"/>
                <w:kern w:val="0"/>
                <w:sz w:val="24"/>
                <w:szCs w:val="24"/>
              </w:rPr>
              <w:t>学历学位</w:t>
            </w: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专业</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其他</w:t>
            </w:r>
          </w:p>
        </w:tc>
        <w:tc>
          <w:tcPr>
            <w:tcW w:w="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b/>
                <w:bCs/>
                <w:color w:val="000000"/>
                <w:kern w:val="0"/>
                <w:sz w:val="24"/>
                <w:szCs w:val="24"/>
              </w:rPr>
            </w:pPr>
          </w:p>
        </w:tc>
      </w:tr>
      <w:tr>
        <w:tblPrEx>
          <w:tblCellMar>
            <w:top w:w="0" w:type="dxa"/>
            <w:left w:w="108" w:type="dxa"/>
            <w:bottom w:w="0" w:type="dxa"/>
            <w:right w:w="108" w:type="dxa"/>
          </w:tblCellMar>
        </w:tblPrEx>
        <w:trPr>
          <w:trHeight w:val="960" w:hRule="exac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赣州市章贡区环境监察大队(章贡区环境执法监测站）</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2020001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面向社会考核招聘</w:t>
            </w:r>
          </w:p>
        </w:tc>
        <w:tc>
          <w:tcPr>
            <w:tcW w:w="127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30周岁及以下</w:t>
            </w:r>
          </w:p>
        </w:tc>
        <w:tc>
          <w:tcPr>
            <w:tcW w:w="8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硕士研究生及以上</w:t>
            </w: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限应届毕业生报考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850" w:hRule="exac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238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赣州市上犹生态环境保护综合执法大队</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环境执法岗1</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2020002</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127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限应届毕业生报考</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610"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23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环境执法岗2</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2020003</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127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813"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238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赣州市南康生态环境保护综合执法大队</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环境执法岗1</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2020004</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127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765"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23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环境执法岗2</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2020005</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127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4"/>
                <w:szCs w:val="24"/>
              </w:rPr>
            </w:pP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限应届毕业生报考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945"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238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赣州市崇义生态环境保护综合执法大队</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环境执法岗1</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2020006</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127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30周岁以下</w:t>
            </w:r>
          </w:p>
        </w:tc>
        <w:tc>
          <w:tcPr>
            <w:tcW w:w="8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硕士研究生及以上</w:t>
            </w: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875"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23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环境执法岗2</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2020007</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szCs w:val="24"/>
              </w:rPr>
            </w:pPr>
          </w:p>
        </w:tc>
        <w:tc>
          <w:tcPr>
            <w:tcW w:w="127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cs="宋体"/>
                <w:color w:val="000000"/>
                <w:kern w:val="0"/>
                <w:sz w:val="24"/>
                <w:szCs w:val="24"/>
              </w:rPr>
            </w:pP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cs="宋体"/>
                <w:color w:val="000000"/>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限应届毕业生报考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095"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赣州市大余生态环境保护综合执法大队</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2020008</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面向社会考核招聘</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35周岁以下</w:t>
            </w:r>
          </w:p>
        </w:tc>
        <w:tc>
          <w:tcPr>
            <w:tcW w:w="8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硕士研究生及以上</w:t>
            </w: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b/>
                <w:bCs/>
                <w:color w:val="000000"/>
                <w:kern w:val="0"/>
                <w:sz w:val="24"/>
                <w:szCs w:val="24"/>
              </w:rPr>
            </w:pPr>
          </w:p>
        </w:tc>
      </w:tr>
      <w:tr>
        <w:tblPrEx>
          <w:tblCellMar>
            <w:top w:w="0" w:type="dxa"/>
            <w:left w:w="108" w:type="dxa"/>
            <w:bottom w:w="0" w:type="dxa"/>
            <w:right w:w="108" w:type="dxa"/>
          </w:tblCellMar>
        </w:tblPrEx>
        <w:trPr>
          <w:trHeight w:val="860"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赣州市信丰生态环境保护综合执法大队</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2020009</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rPr>
            </w:pPr>
          </w:p>
        </w:tc>
        <w:tc>
          <w:tcPr>
            <w:tcW w:w="127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30周岁及以下</w:t>
            </w:r>
          </w:p>
        </w:tc>
        <w:tc>
          <w:tcPr>
            <w:tcW w:w="8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硕士研究生及以上</w:t>
            </w: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限应届毕业生报考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b/>
                <w:bCs/>
                <w:color w:val="000000"/>
                <w:kern w:val="0"/>
                <w:sz w:val="24"/>
                <w:szCs w:val="24"/>
              </w:rPr>
            </w:pPr>
          </w:p>
        </w:tc>
      </w:tr>
      <w:tr>
        <w:tblPrEx>
          <w:tblCellMar>
            <w:top w:w="0" w:type="dxa"/>
            <w:left w:w="108" w:type="dxa"/>
            <w:bottom w:w="0" w:type="dxa"/>
            <w:right w:w="108" w:type="dxa"/>
          </w:tblCellMar>
        </w:tblPrEx>
        <w:trPr>
          <w:trHeight w:val="846"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赣州市龙南生态环境保护综合执法大队</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2020010</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127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限应届毕业生报考</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959"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赣州市全南生态环境保护综合执法大队</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2020011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127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限应届毕业生报考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020"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赣州市定南生态环境保护综合执法大队</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2020012</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127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35周岁以下</w:t>
            </w:r>
          </w:p>
        </w:tc>
        <w:tc>
          <w:tcPr>
            <w:tcW w:w="8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硕士研究生及以上</w:t>
            </w: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990"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赣州市寻乌生态环境保护综合执法大队</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环境执法岗</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2020013</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szCs w:val="24"/>
              </w:rPr>
            </w:pPr>
          </w:p>
        </w:tc>
        <w:tc>
          <w:tcPr>
            <w:tcW w:w="127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szCs w:val="24"/>
              </w:rPr>
            </w:pP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035"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赣州市石城生态环境保护综合执法大队</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2020014</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127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945"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238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赣州市瑞金生态环境保护综合执法大队</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环境执法岗1</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2020015</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仿宋"/>
                <w:kern w:val="0"/>
                <w:sz w:val="24"/>
              </w:rPr>
            </w:pPr>
            <w:r>
              <w:rPr>
                <w:rFonts w:hint="eastAsia" w:ascii="仿宋_GB2312" w:hAnsi="仿宋_GB2312" w:eastAsia="仿宋_GB2312" w:cs="仿宋_GB2312"/>
                <w:kern w:val="0"/>
                <w:sz w:val="24"/>
              </w:rPr>
              <w:t>面向社会考核招聘</w:t>
            </w:r>
          </w:p>
        </w:tc>
        <w:tc>
          <w:tcPr>
            <w:tcW w:w="127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30周岁及以下</w:t>
            </w:r>
          </w:p>
        </w:tc>
        <w:tc>
          <w:tcPr>
            <w:tcW w:w="8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硕士研究生及以上</w:t>
            </w: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限应届毕业生报考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b/>
                <w:bCs/>
                <w:color w:val="000000"/>
                <w:kern w:val="0"/>
                <w:sz w:val="24"/>
                <w:szCs w:val="24"/>
              </w:rPr>
            </w:pPr>
          </w:p>
        </w:tc>
      </w:tr>
      <w:tr>
        <w:tblPrEx>
          <w:tblCellMar>
            <w:top w:w="0" w:type="dxa"/>
            <w:left w:w="108" w:type="dxa"/>
            <w:bottom w:w="0" w:type="dxa"/>
            <w:right w:w="108" w:type="dxa"/>
          </w:tblCellMar>
        </w:tblPrEx>
        <w:trPr>
          <w:trHeight w:val="935"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23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环境执法岗2</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2020016</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rPr>
            </w:pPr>
          </w:p>
        </w:tc>
        <w:tc>
          <w:tcPr>
            <w:tcW w:w="127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法学（0301）、法律（0351）、环境科学与工程（0830）、环境工程（085229）</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b/>
                <w:bCs/>
                <w:color w:val="000000"/>
                <w:kern w:val="0"/>
                <w:sz w:val="24"/>
                <w:szCs w:val="24"/>
              </w:rPr>
            </w:pPr>
          </w:p>
        </w:tc>
      </w:tr>
      <w:tr>
        <w:tblPrEx>
          <w:tblCellMar>
            <w:top w:w="0" w:type="dxa"/>
            <w:left w:w="108" w:type="dxa"/>
            <w:bottom w:w="0" w:type="dxa"/>
            <w:right w:w="108" w:type="dxa"/>
          </w:tblCellMar>
        </w:tblPrEx>
        <w:trPr>
          <w:trHeight w:val="1710"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赣州市上犹生态环境监测站</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环境监测与分析岗</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2020017</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仿宋"/>
                <w:kern w:val="0"/>
                <w:sz w:val="24"/>
              </w:rPr>
            </w:pP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30周岁及以下</w:t>
            </w:r>
          </w:p>
        </w:tc>
        <w:tc>
          <w:tcPr>
            <w:tcW w:w="8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硕士研究生及以上</w:t>
            </w: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化学（0703）、仪器科学与技术（0804）、化学工程与技术（0817）仪器仪表工程（085203）、化学工程（085216）</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b/>
                <w:bCs/>
                <w:color w:val="000000"/>
                <w:kern w:val="0"/>
                <w:sz w:val="24"/>
                <w:szCs w:val="24"/>
              </w:rPr>
            </w:pPr>
            <w:r>
              <w:rPr>
                <w:rFonts w:hint="eastAsia" w:ascii="仿宋_GB2312" w:hAnsi="宋体" w:eastAsia="仿宋_GB2312" w:cs="宋体"/>
                <w:color w:val="000000"/>
                <w:kern w:val="0"/>
                <w:sz w:val="24"/>
                <w:szCs w:val="24"/>
              </w:rPr>
              <w:t>限应届毕业生报考</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b/>
                <w:bCs/>
                <w:color w:val="000000"/>
                <w:kern w:val="0"/>
                <w:sz w:val="24"/>
                <w:szCs w:val="24"/>
              </w:rPr>
            </w:pPr>
          </w:p>
        </w:tc>
      </w:tr>
      <w:tr>
        <w:tblPrEx>
          <w:tblCellMar>
            <w:top w:w="0" w:type="dxa"/>
            <w:left w:w="108" w:type="dxa"/>
            <w:bottom w:w="0" w:type="dxa"/>
            <w:right w:w="108" w:type="dxa"/>
          </w:tblCellMar>
        </w:tblPrEx>
        <w:trPr>
          <w:trHeight w:val="1795" w:hRule="exac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238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赣州市南康生态环境监测站</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环境监测与分析岗1</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2020018</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127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30周岁及以下</w:t>
            </w:r>
          </w:p>
        </w:tc>
        <w:tc>
          <w:tcPr>
            <w:tcW w:w="8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硕士研究生及以上</w:t>
            </w: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化学（0703）、仪器科学与技术（0804）、化学工程与技术（0817）仪器仪表工程（085203）、化学工程（085216）</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限应届毕业生报考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840" w:hRule="exac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23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环境监测与分析岗2</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20200019</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127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化学（0703）、仪器科学与技术（0804）、化学工程与技术（0817）仪器仪表工程（085203）、化学工程（085216）</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1305"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赣州市大余生态环境监测站</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环境监测与分析岗</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2020020</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仿宋_GB2312" w:eastAsia="仿宋_GB2312" w:cs="仿宋_GB2312"/>
                <w:kern w:val="0"/>
                <w:sz w:val="24"/>
              </w:rPr>
              <w:t>面向社会考核招聘</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35周岁以下</w:t>
            </w:r>
          </w:p>
        </w:tc>
        <w:tc>
          <w:tcPr>
            <w:tcW w:w="8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硕士研究生及以上</w:t>
            </w: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105" w:leftChars="-50" w:right="-105" w:rightChars="-5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化学（0703）、仪器科学与技术（0804）、化学工程与技术（0817）仪器仪表工程（085203）、化学工程（085216）</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345"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赣州市信丰生态环境监测站</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环境监测与分析岗</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2020021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30周岁及以下</w:t>
            </w: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105" w:leftChars="-50" w:right="-105" w:rightChars="-5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化学（0703）、仪器科学与技术（0804）、化学工程与技术（0817）仪器仪表工程（085203）、化学工程（085216）</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限应届毕业生报考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285"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赣州市寻乌生态环境监测站</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环境监测与分析岗</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2020022</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35周岁以下</w:t>
            </w:r>
          </w:p>
        </w:tc>
        <w:tc>
          <w:tcPr>
            <w:tcW w:w="8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硕士研究生及以上</w:t>
            </w: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105" w:leftChars="-50" w:right="-105" w:rightChars="-5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化学（0703）、仪器科学与技术（0804）、化学工程与技术（0817）仪器仪表工程（085203）、化学工程（085216）</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660" w:hRule="exac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238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赣州市瑞金生态环境监测站</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环境监测与分析岗1</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2020023</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127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30周岁及以下</w:t>
            </w: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105" w:leftChars="-50" w:right="-105" w:rightChars="-5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化学（0703）、仪器科学与技术（0804）、化学工程与技术（0817）仪器仪表工程（085203）、化学工程（085216）</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限应届毕业生报考　</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1525"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23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环境监测与分析岗2</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2020024</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127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8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33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105" w:leftChars="-50" w:right="-105" w:rightChars="-50"/>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化学（0703）、仪器科学与技术（0804）、化学工程与技术（0817）仪器仪表工程（085203）、化学工程（085216）</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30DD2"/>
    <w:rsid w:val="22630DD2"/>
    <w:rsid w:val="5462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2020-06-29T10:18:00Z</dcterms:created>
  <dc:creator>只为you守候</dc:creator>
  <cp:lastModifiedBy>只为you守候</cp:lastModifiedBy>
  <dcterms:modified xsi:type="dcterms:W3CDTF">2020-06-29T10:20:25Z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