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楷体_GBK" w:eastAsia="方正楷体_GBK" w:cs="仿宋"/>
          <w:b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 w:cs="仿宋"/>
          <w:b/>
          <w:color w:val="666666"/>
          <w:kern w:val="0"/>
          <w:sz w:val="32"/>
          <w:szCs w:val="32"/>
          <w:shd w:val="clear" w:color="auto" w:fill="FFFFFF"/>
        </w:rPr>
        <w:t>附件1：</w:t>
      </w:r>
    </w:p>
    <w:p>
      <w:pPr>
        <w:spacing w:line="520" w:lineRule="exact"/>
        <w:jc w:val="center"/>
        <w:rPr>
          <w:rFonts w:ascii="方正楷体_GBK" w:eastAsia="方正楷体_GBK"/>
          <w:b/>
          <w:sz w:val="36"/>
          <w:szCs w:val="36"/>
        </w:rPr>
      </w:pPr>
      <w:r>
        <w:rPr>
          <w:rFonts w:hint="eastAsia" w:ascii="方正楷体_GBK" w:eastAsia="方正楷体_GBK"/>
          <w:b/>
          <w:sz w:val="36"/>
          <w:szCs w:val="36"/>
        </w:rPr>
        <w:t>泉州海关驻晋江办事处协管人员岗位及资格条件</w:t>
      </w:r>
    </w:p>
    <w:tbl>
      <w:tblPr>
        <w:tblStyle w:val="2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38"/>
        <w:gridCol w:w="1914"/>
        <w:gridCol w:w="319"/>
        <w:gridCol w:w="638"/>
        <w:gridCol w:w="1914"/>
        <w:gridCol w:w="95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岗位名称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招聘人数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color w:val="000000"/>
                <w:szCs w:val="21"/>
              </w:rPr>
            </w:pPr>
            <w:r>
              <w:rPr>
                <w:rFonts w:hint="eastAsia" w:ascii="方正楷体_GBK" w:eastAsia="方正楷体_GBK"/>
                <w:b/>
                <w:color w:val="000000"/>
                <w:szCs w:val="21"/>
              </w:rPr>
              <w:t>岗位职责</w:t>
            </w:r>
          </w:p>
        </w:tc>
        <w:tc>
          <w:tcPr>
            <w:tcW w:w="31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性别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学历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专业</w:t>
            </w:r>
          </w:p>
        </w:tc>
        <w:tc>
          <w:tcPr>
            <w:tcW w:w="95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年龄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机场旅检协勤岗位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2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方正楷体_GBK" w:eastAsia="方正楷体_GBK"/>
                <w:b/>
                <w:color w:val="000000"/>
                <w:sz w:val="18"/>
                <w:szCs w:val="18"/>
              </w:rPr>
              <w:t>在机场监管区域和场所协助维持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旅检通道秩序、</w:t>
            </w:r>
            <w:r>
              <w:rPr>
                <w:rFonts w:hint="eastAsia" w:ascii="方正楷体_GBK" w:eastAsia="方正楷体_GBK"/>
                <w:b/>
                <w:color w:val="000000"/>
                <w:sz w:val="18"/>
                <w:szCs w:val="18"/>
              </w:rPr>
              <w:t>进行卫生检疫、协勤协检、抽血化验、区域巡查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等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19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男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全日制大专以上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1．医学专业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及类似专业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2、卫生检疫专业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及类似专业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。</w:t>
            </w:r>
          </w:p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</w:p>
        </w:tc>
        <w:tc>
          <w:tcPr>
            <w:tcW w:w="957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周岁以上32周岁以下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身高1.7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米以上（男），样貌端正，泉州地区户</w:t>
            </w:r>
            <w:r>
              <w:rPr>
                <w:rFonts w:hint="eastAsia" w:ascii="方正楷体_GBK" w:eastAsia="方正楷体_GBK"/>
                <w:b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（晋江籍）人员、有医学护理特长者优先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/>
            <w:vAlign w:val="center"/>
          </w:tcPr>
          <w:p>
            <w:pPr>
              <w:spacing w:line="360" w:lineRule="exact"/>
              <w:ind w:left="271" w:hanging="270" w:hangingChars="150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邮件监管科协勤岗位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5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负责陆地港、快、邮件监管区</w:t>
            </w:r>
            <w:r>
              <w:rPr>
                <w:rFonts w:hint="eastAsia" w:ascii="方正楷体_GBK" w:eastAsia="方正楷体_GBK"/>
                <w:b/>
                <w:color w:val="000000"/>
                <w:sz w:val="18"/>
                <w:szCs w:val="18"/>
              </w:rPr>
              <w:t>域和场所协助邮包监管、卡口值守、协勤协检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或其它内勤事务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19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男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女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全日制大专以上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1．动植检专业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及类似专业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（2名，男）；</w:t>
            </w:r>
          </w:p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2．计算机专业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及类似专业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(1名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男)；</w:t>
            </w:r>
          </w:p>
          <w:p>
            <w:pPr>
              <w:spacing w:line="360" w:lineRule="exact"/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3．汉语言文学专业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及类似专业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(2名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男、女不限)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57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周岁以上32周岁以下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身高1.7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米以上（男），身高1.6米以上（女），样貌端正，泉州地区户</w:t>
            </w:r>
            <w:r>
              <w:rPr>
                <w:rFonts w:hint="eastAsia" w:ascii="方正楷体_GBK" w:eastAsia="方正楷体_GBK"/>
                <w:b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（晋江籍）人员优先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065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综合岗人员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1</w:t>
            </w:r>
          </w:p>
        </w:tc>
        <w:tc>
          <w:tcPr>
            <w:tcW w:w="1914" w:type="dxa"/>
            <w:noWrap/>
            <w:vAlign w:val="center"/>
          </w:tcPr>
          <w:p>
            <w:pPr>
              <w:spacing w:line="360" w:lineRule="exact"/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协助材料撰写及技术保障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19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男</w:t>
            </w:r>
          </w:p>
        </w:tc>
        <w:tc>
          <w:tcPr>
            <w:tcW w:w="638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全日制大专以上</w:t>
            </w:r>
          </w:p>
        </w:tc>
        <w:tc>
          <w:tcPr>
            <w:tcW w:w="1914" w:type="dxa"/>
            <w:noWrap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exact"/>
              <w:ind w:left="75" w:leftChars="0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计算机专业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及类似专业；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exact"/>
              <w:ind w:left="75" w:leftChars="0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汉语言文学专业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eastAsia="zh-CN"/>
              </w:rPr>
              <w:t>及类似专业。</w:t>
            </w:r>
          </w:p>
        </w:tc>
        <w:tc>
          <w:tcPr>
            <w:tcW w:w="957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周岁以上32周岁以下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60" w:lineRule="exact"/>
              <w:rPr>
                <w:rFonts w:ascii="方正楷体_GBK" w:eastAsia="方正楷体_GBK"/>
                <w:b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身高1.7</w:t>
            </w:r>
            <w:r>
              <w:rPr>
                <w:rFonts w:hint="eastAsia" w:ascii="方正楷体_GBK" w:eastAsia="方正楷体_GBK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米以上（男），样貌端正，文字功底好、熟练掌握计算机操作技能，泉州地区户</w:t>
            </w:r>
            <w:r>
              <w:rPr>
                <w:rFonts w:hint="eastAsia" w:ascii="方正楷体_GBK" w:eastAsia="方正楷体_GBK"/>
                <w:b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方正楷体_GBK" w:eastAsia="方正楷体_GBK"/>
                <w:b/>
                <w:sz w:val="18"/>
                <w:szCs w:val="18"/>
              </w:rPr>
              <w:t>（晋江籍）人员优先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方正楷体_GBK" w:eastAsia="方正楷体_GBK" w:cs="仿宋"/>
          <w:b/>
          <w:color w:val="666666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64057"/>
    <w:rsid w:val="6EA64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2020-06-24T06:31:00Z</dcterms:created>
  <dc:creator>ymhj</dc:creator>
  <cp:lastModifiedBy>ymhj</cp:lastModifiedBy>
  <dcterms:modified xsi:type="dcterms:W3CDTF">2020-06-24T06:31:56Z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