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7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具体岗位要求如下：</w:t>
      </w:r>
    </w:p>
    <w:tbl>
      <w:tblPr>
        <w:tblW w:w="84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553"/>
        <w:gridCol w:w="577"/>
        <w:gridCol w:w="577"/>
        <w:gridCol w:w="2151"/>
        <w:gridCol w:w="817"/>
        <w:gridCol w:w="28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名 称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拟聘人数</w:t>
            </w:r>
          </w:p>
        </w:tc>
        <w:tc>
          <w:tcPr>
            <w:tcW w:w="6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 位 条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最低学历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最低学位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 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最低专业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技术资格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与岗位有关的其它条件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社康全科医师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本科：临床医学类/中医学类/中西医结合类；研究生：不限。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全日制普通高等教育学历；45周岁以下；中级以上职称可放宽至全日制大专；执业范围为全科专业。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社康公卫医师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本科：预防医学；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研究生：公共卫生与预防医学。          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全日制普通高等教育学历；35周岁以下；中级以上职称可放宽至全日制大专；执业范围为公共卫生专业。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社康医师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本科：临床医学类/中医学类/中西医结合类；研究生：不限。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45周岁以下；具有执业医师资格。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社康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中医师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学士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本科：中医学类/中西医结合类 研究生：中医学类/中西医结合类。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全日制普通高等教育学历；45周岁以下；具有执业医师资格。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康复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治疗师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大专：康复治疗技术；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本科：康复治疗学；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研究生：康复医学与理疗学。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技士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全日制普通高等教育学历；35周岁以下；具有康复医学治疗技术资格证。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3F2"/>
    <w:rsid w:val="0009569F"/>
    <w:rsid w:val="00356701"/>
    <w:rsid w:val="003F212F"/>
    <w:rsid w:val="0055156D"/>
    <w:rsid w:val="00583CD6"/>
    <w:rsid w:val="005B3BD7"/>
    <w:rsid w:val="00621C66"/>
    <w:rsid w:val="00A207F6"/>
    <w:rsid w:val="00A450C9"/>
    <w:rsid w:val="00B6557B"/>
    <w:rsid w:val="00BD13F2"/>
    <w:rsid w:val="00C21FE8"/>
    <w:rsid w:val="00C45FD3"/>
    <w:rsid w:val="00E85646"/>
    <w:rsid w:val="76C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122</Words>
  <Characters>697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2019-03-05T01:32:00Z</dcterms:created>
  <dc:creator>lili</dc:creator>
  <cp:lastModifiedBy>Administrator</cp:lastModifiedBy>
  <dcterms:modified xsi:type="dcterms:W3CDTF">2020-06-24T02:48:40Z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