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hint="default" w:eastAsiaTheme="minorEastAsia"/>
          <w:b w:val="0"/>
          <w:bCs w:val="0"/>
          <w:sz w:val="28"/>
          <w:szCs w:val="28"/>
          <w:lang w:val="en-US" w:eastAsia="zh-CN"/>
        </w:rPr>
      </w:pPr>
      <w:r>
        <w:rPr>
          <w:rFonts w:hint="eastAsia"/>
          <w:b w:val="0"/>
          <w:bCs w:val="0"/>
          <w:sz w:val="28"/>
          <w:szCs w:val="28"/>
          <w:lang w:val="en-US" w:eastAsia="zh-CN"/>
        </w:rPr>
        <w:t>附件4</w:t>
      </w:r>
    </w:p>
    <w:p>
      <w:pPr>
        <w:pStyle w:val="2"/>
        <w:jc w:val="center"/>
      </w:pPr>
      <w:r>
        <w:rPr>
          <w:rFonts w:hint="eastAsia"/>
        </w:rPr>
        <w:t>广西万邕投资集团有限公司简介</w:t>
      </w:r>
    </w:p>
    <w:p>
      <w:pPr>
        <w:ind w:firstLine="560" w:firstLineChars="200"/>
      </w:pPr>
      <w:r>
        <w:rPr>
          <w:rFonts w:hint="eastAsia"/>
        </w:rPr>
        <w:t>广西万邕投资集团有限公司（以下简称“万邕集团”）成立于2001年10月，注册资本人民币壹亿零伍佰万元，业务涵盖电力工程勘察设计、监理咨询和工程施工；电力设备生产制造、维护；房地产开发及物业管理；新能源产业投资及生态科技农业开发五大业务板块，以电力建设为主多元化发展的集团型企业。万邕集团现拥有：广西建宁输变电工程有限公司、广西南宁国恒供电开发有限责任公司、广西百捷电气有限公司、广西品鑫电气设备维护有限责任公司、广西绿能电力勘察设计有限公司、广西万信工程咨询有限责任公司、南宁耀天电力科技有限公司及南宁宇能物业服务有限责任公司等8家所属单位，员工共计</w:t>
      </w:r>
      <w:r>
        <w:rPr>
          <w:rFonts w:hint="eastAsia"/>
          <w:lang w:val="en-US" w:eastAsia="zh-CN"/>
        </w:rPr>
        <w:t>2680余</w:t>
      </w:r>
      <w:r>
        <w:rPr>
          <w:rFonts w:hint="eastAsia"/>
        </w:rPr>
        <w:t>人。</w:t>
      </w:r>
    </w:p>
    <w:p>
      <w:pPr>
        <w:ind w:firstLine="560" w:firstLineChars="200"/>
      </w:pPr>
      <w:r>
        <w:rPr>
          <w:rFonts w:hint="eastAsia"/>
        </w:rPr>
        <w:t>自成立以来，万邕集团凭借自身不断努力，立足于广西电网项目建设，参与国内外市场竞争，取得了辉煌的成绩，为地方经济快速发展做出了应有贡献。拥有卓越项目管</w:t>
      </w:r>
      <w:bookmarkStart w:id="0" w:name="_GoBack"/>
      <w:bookmarkEnd w:id="0"/>
      <w:r>
        <w:rPr>
          <w:rFonts w:hint="eastAsia"/>
        </w:rPr>
        <w:t>理能力和先进技术理念，建造了系列精品工程，累计完成了国外230千伏输电线路项目约180公里、国内变电站项目约260座、输电线路项目约9000多公里。北海～美林500kV线路工程获得2019年中国电力优质工程、500kV北海变电站工程获得2019年广西建设工程“真武阁杯”奖（最高质量奖）, 220kV多吉变电站工程等3项工程建设项目荣获</w:t>
      </w:r>
      <w:r>
        <w:rPr>
          <w:rFonts w:hint="eastAsia" w:cs="宋体" w:asciiTheme="minorEastAsia" w:hAnsiTheme="minorEastAsia"/>
          <w:szCs w:val="21"/>
        </w:rPr>
        <w:t>中国电力优质工程奖；220kV排岭变电站工程荣获广西变电类工程“中国安装之星”；</w:t>
      </w:r>
      <w:r>
        <w:rPr>
          <w:rFonts w:hint="eastAsia"/>
        </w:rPr>
        <w:t>18项工程建设项目荣获</w:t>
      </w:r>
      <w:r>
        <w:rPr>
          <w:rFonts w:hint="eastAsia" w:cs="宋体" w:asciiTheme="minorEastAsia" w:hAnsiTheme="minorEastAsia"/>
          <w:szCs w:val="21"/>
        </w:rPr>
        <w:t>中国南方电网优质工程奖；40项</w:t>
      </w:r>
      <w:r>
        <w:rPr>
          <w:rFonts w:hint="eastAsia"/>
        </w:rPr>
        <w:t>工程建设项目荣获</w:t>
      </w:r>
      <w:r>
        <w:rPr>
          <w:rFonts w:hint="eastAsia" w:cs="宋体" w:asciiTheme="minorEastAsia" w:hAnsiTheme="minorEastAsia"/>
          <w:szCs w:val="21"/>
        </w:rPr>
        <w:t>广西电力建设企业协会、广西住房和城乡建设厅及广西电网公司颁发的广西优质工程奖。</w:t>
      </w:r>
      <w:r>
        <w:rPr>
          <w:rFonts w:hint="eastAsia"/>
        </w:rPr>
        <w:t>设计水平行业领先，万邕集团作为南方电网公司10千伏及35千伏配网标准设计起草编制成员之一，完成了100多项变电站及配套线路的重点工程设计项目，其中“南宁市新能源汽车基础设施规划”等高新领域规划编制获得了业主的高度评价。积极打造多元化管理平台，提升平台技术含金量，投资开发了6个房地产项目，累计建筑面积50多万平方米；拥有10项节能技术研发专利等，业务版图已遍布国内各省市以及柬埔寨、越南等东南亚国家；自主生产的（氯化聚氯乙烯）CPVC电缆护套管、（改性聚丙烯）MPP电缆护套管荣获广西名牌产品，绿色环保首选品牌，中国环保首选品牌，中国节能首选品牌等多项殊荣。</w:t>
      </w:r>
    </w:p>
    <w:p>
      <w:pPr>
        <w:ind w:firstLine="560" w:firstLineChars="200"/>
      </w:pPr>
      <w:r>
        <w:rPr>
          <w:rFonts w:hint="eastAsia"/>
        </w:rPr>
        <w:t>“来源于社会，回馈于社会，服务于社会”，万邕集团怀有一颗感恩社会的心，在2005年海南特大洪涝灾害、2008年南方地区的雨雪冰冻灾害、2010-2018年期间广西、海南多次遭受超强台风等重大自然灾害面前，我们迅速响应，成立抢险突击队，胜利完成了电网复电任务，恢复了当地人民群众生产生活用电；配合南宁供电局成功完成了2010年广州第16届亚运会、历届广西南宁民歌节保供电任务，得到了社会和群众的认可，赢得了政府以及社会各界的高度赞誉。</w:t>
      </w:r>
    </w:p>
    <w:p>
      <w:pPr>
        <w:ind w:firstLine="560" w:firstLineChars="200"/>
      </w:pPr>
      <w:r>
        <w:rPr>
          <w:rFonts w:hint="eastAsia"/>
        </w:rPr>
        <w:t>万邕集团一直秉承“万众一心、勇往直前”的企业精神，始终恪守“诚信守法、争创效益”的经营理念，时刻牢记“重信兴利、共赢发展”的企业宗旨，积极践行“精诚、品质、创新”的核心价值观，继续围绕电力发展，在新能源等领域加大建设力量，努力实现企业和股东双赢，为实现社会的美好繁荣，为实现中华民族伟大复兴“中国梦”而努力奋斗。</w:t>
      </w:r>
    </w:p>
    <w:p>
      <w:pPr>
        <w:ind w:firstLine="560" w:firstLineChars="200"/>
      </w:pPr>
    </w:p>
    <w:p>
      <w:pPr>
        <w:pStyle w:val="13"/>
        <w:rPr>
          <w:rFonts w:asciiTheme="minorEastAsia" w:hAnsiTheme="minorEastAsia" w:eastAsiaTheme="minorEastAsia"/>
          <w:b/>
          <w:sz w:val="32"/>
          <w:szCs w:val="32"/>
        </w:rPr>
      </w:pPr>
      <w:r>
        <w:rPr>
          <w:rFonts w:hint="eastAsia" w:asciiTheme="minorEastAsia" w:hAnsiTheme="minorEastAsia" w:eastAsiaTheme="minorEastAsia"/>
          <w:b/>
          <w:sz w:val="32"/>
          <w:szCs w:val="32"/>
        </w:rPr>
        <w:t>窗体顶端</w:t>
      </w:r>
    </w:p>
    <w:p>
      <w:pPr>
        <w:pStyle w:val="13"/>
        <w:rPr>
          <w:rFonts w:asciiTheme="minorEastAsia" w:hAnsiTheme="minorEastAsia" w:eastAsiaTheme="minorEastAsia"/>
          <w:b/>
          <w:sz w:val="32"/>
          <w:szCs w:val="32"/>
        </w:rPr>
      </w:pPr>
      <w:r>
        <w:rPr>
          <w:rFonts w:hint="eastAsia" w:asciiTheme="minorEastAsia" w:hAnsiTheme="minorEastAsia" w:eastAsiaTheme="minorEastAsia"/>
          <w:b/>
          <w:sz w:val="32"/>
          <w:szCs w:val="32"/>
        </w:rPr>
        <w:t>窗体顶端</w:t>
      </w:r>
    </w:p>
    <w:p>
      <w:pPr>
        <w:pStyle w:val="13"/>
        <w:rPr>
          <w:rFonts w:asciiTheme="minorEastAsia" w:hAnsiTheme="minorEastAsia" w:eastAsiaTheme="minorEastAsia"/>
          <w:b/>
          <w:sz w:val="32"/>
          <w:szCs w:val="32"/>
        </w:rPr>
      </w:pPr>
      <w:r>
        <w:rPr>
          <w:rFonts w:hint="eastAsia" w:asciiTheme="minorEastAsia" w:hAnsiTheme="minorEastAsia" w:eastAsiaTheme="minorEastAsia"/>
          <w:b/>
          <w:sz w:val="32"/>
          <w:szCs w:val="32"/>
        </w:rPr>
        <w:t>窗体顶端</w:t>
      </w:r>
    </w:p>
    <w:p>
      <w:pPr>
        <w:pStyle w:val="15"/>
        <w:rPr>
          <w:rFonts w:asciiTheme="minorEastAsia" w:hAnsiTheme="minorEastAsia" w:eastAsiaTheme="minorEastAsia"/>
          <w:b/>
          <w:sz w:val="32"/>
          <w:szCs w:val="32"/>
        </w:rPr>
      </w:pPr>
      <w:r>
        <w:rPr>
          <w:rFonts w:hint="eastAsia" w:asciiTheme="minorEastAsia" w:hAnsiTheme="minorEastAsia" w:eastAsiaTheme="minorEastAsia"/>
          <w:b/>
          <w:sz w:val="32"/>
          <w:szCs w:val="32"/>
        </w:rPr>
        <w:t>窗体底端</w:t>
      </w:r>
    </w:p>
    <w:p>
      <w:pPr>
        <w:pStyle w:val="13"/>
        <w:rPr>
          <w:rFonts w:asciiTheme="minorEastAsia" w:hAnsiTheme="minorEastAsia" w:eastAsiaTheme="minorEastAsia"/>
          <w:b/>
          <w:sz w:val="32"/>
          <w:szCs w:val="32"/>
        </w:rPr>
      </w:pPr>
      <w:r>
        <w:rPr>
          <w:rFonts w:hint="eastAsia" w:asciiTheme="minorEastAsia" w:hAnsiTheme="minorEastAsia" w:eastAsiaTheme="minorEastAsia"/>
          <w:b/>
          <w:sz w:val="32"/>
          <w:szCs w:val="32"/>
        </w:rPr>
        <w:t>窗体顶端</w:t>
      </w:r>
    </w:p>
    <w:p>
      <w:pPr>
        <w:rPr>
          <w:rFonts w:hint="eastAsia" w:cs="方正小标宋_GBK" w:asciiTheme="minorEastAsia" w:hAnsiTheme="minorEastAsia"/>
          <w:bCs w:val="0"/>
          <w:szCs w:val="32"/>
        </w:rPr>
      </w:pPr>
      <w:r>
        <w:rPr>
          <w:rFonts w:hint="eastAsia" w:cs="方正小标宋_GBK" w:asciiTheme="minorEastAsia" w:hAnsiTheme="minorEastAsia"/>
          <w:bCs w:val="0"/>
          <w:szCs w:val="32"/>
        </w:rPr>
        <w:br w:type="page"/>
      </w:r>
    </w:p>
    <w:p>
      <w:pPr>
        <w:pStyle w:val="2"/>
        <w:widowControl/>
        <w:spacing w:before="120" w:after="0" w:line="240" w:lineRule="auto"/>
        <w:jc w:val="center"/>
        <w:rPr>
          <w:rFonts w:hint="eastAsia" w:cs="方正小标宋_GBK" w:asciiTheme="minorEastAsia" w:hAnsiTheme="minorEastAsia"/>
          <w:bCs w:val="0"/>
          <w:szCs w:val="32"/>
        </w:rPr>
      </w:pPr>
    </w:p>
    <w:p>
      <w:pPr>
        <w:pStyle w:val="2"/>
        <w:widowControl/>
        <w:spacing w:before="120" w:after="0" w:line="240" w:lineRule="auto"/>
        <w:jc w:val="center"/>
        <w:rPr>
          <w:rFonts w:cs="方正小标宋_GBK" w:asciiTheme="minorEastAsia" w:hAnsiTheme="minorEastAsia"/>
          <w:szCs w:val="32"/>
        </w:rPr>
      </w:pPr>
      <w:r>
        <w:rPr>
          <w:rFonts w:hint="eastAsia" w:cs="方正小标宋_GBK" w:asciiTheme="minorEastAsia" w:hAnsiTheme="minorEastAsia"/>
          <w:bCs w:val="0"/>
          <w:szCs w:val="32"/>
        </w:rPr>
        <w:t>广西建宁输变电工程有限公司简介</w:t>
      </w:r>
    </w:p>
    <w:p>
      <w:pPr>
        <w:widowControl/>
        <w:spacing w:before="120"/>
        <w:rPr>
          <w:rFonts w:ascii="Tahoma" w:hAnsi="Tahoma" w:eastAsia="Tahoma" w:cs="Tahoma"/>
          <w:sz w:val="14"/>
          <w:szCs w:val="14"/>
        </w:rPr>
      </w:pPr>
    </w:p>
    <w:p>
      <w:pPr>
        <w:ind w:firstLine="560" w:firstLineChars="200"/>
        <w:rPr>
          <w:rFonts w:hint="eastAsia"/>
        </w:rPr>
      </w:pPr>
      <w:r>
        <w:rPr>
          <w:rFonts w:hint="eastAsia"/>
        </w:rPr>
        <w:t>广西建宁输变电工程有限公司成立于1988年5月，注册名称为“南宁供电局电力开发公司”，2001年5月公司更名为“南宁建宁供用电工程有限责任公司”，2007年9月变更为“广西建宁输变电工程有限公司”，2017年经南方电网有限责任公司改革，公司成为职工持股改革后企业，母公司为广西电网有限责任公司管控的广西能汇投资有限公司子公司广西万邕投资集团有限公司。公司主要承建各种电压等级的输电线路、变电站、配电工程、光缆工程及房屋建筑工程的施工，并从事普通货运、自营和代理一般经营项目商品和技术的进出口业务等经营项目。</w:t>
      </w:r>
    </w:p>
    <w:p>
      <w:pPr>
        <w:ind w:firstLine="560" w:firstLineChars="200"/>
        <w:rPr>
          <w:rFonts w:hint="eastAsia"/>
        </w:rPr>
      </w:pPr>
      <w:r>
        <w:rPr>
          <w:rFonts w:hint="eastAsia"/>
        </w:rPr>
        <w:t xml:space="preserve">公司的资质等级为：输变电工程专业承包壹级、电力工程施工总承包贰级、房屋建筑工程施工总承包叁级、水利水电工程施工总承包叁级、市政公用工程施工总承包叁级；具有国家能源局南方监管局核发的电力设施承装类一级、承修类一级、承试类二级资质许可证；广西壮族自治区质量技术监督局核发的拉力试验认定书。 </w:t>
      </w:r>
    </w:p>
    <w:p>
      <w:pPr>
        <w:ind w:firstLine="560" w:firstLineChars="200"/>
        <w:rPr>
          <w:rFonts w:hint="eastAsia"/>
        </w:rPr>
      </w:pPr>
      <w:r>
        <w:rPr>
          <w:rFonts w:hint="eastAsia"/>
        </w:rPr>
        <w:t>公司注册资本金为人民币陆仟万元，系广西具备规模的一级电力施工企业。公司拥有系统合理的专业管理和专业技术人才储备，二级及以上建造师74人，中级及以上专业职称人员94人，科研技术领头人及技术骨干13人，35岁以下员工占比53.5%。公司拥有先进的大型牵张机具设备及500kV变电站安装调试试验设备、工器具及仪表等，50吨及以下吊车、18米及以下高空作业车等关键设备数台， 220kV及以下电压等级的电缆同步输送机组数套，技术装备率和动力装备率满足壹级企业要求的各种送变电工程施工。</w:t>
      </w:r>
    </w:p>
    <w:p>
      <w:pPr>
        <w:ind w:firstLine="560" w:firstLineChars="200"/>
        <w:rPr>
          <w:rFonts w:hint="eastAsia"/>
        </w:rPr>
      </w:pPr>
      <w:r>
        <w:rPr>
          <w:rFonts w:hint="eastAsia"/>
        </w:rPr>
        <w:t>公司现有年同时施工能力：主网工程方面，500kV线路150公里、220kV线路200公里、110kV线路300公里以及110-500kV变电站8座；农、配网方面，10kV-35kV线路100公里、10kV台区70个、35kV变电站4座。此外，可同时维护110-500kV线路500公里。</w:t>
      </w:r>
    </w:p>
    <w:p>
      <w:pPr>
        <w:ind w:firstLine="560" w:firstLineChars="200"/>
        <w:rPr>
          <w:rFonts w:hint="eastAsia"/>
        </w:rPr>
      </w:pPr>
      <w:r>
        <w:rPr>
          <w:rFonts w:hint="eastAsia"/>
        </w:rPr>
        <w:t>公司于2000年实施通过了GB/T 19002-1994质量管理体系认证， 2003年通过了质量管理、环境管理、职业健康安全管理三标体系认证，目前通过的认证：质量管理体系符合GB/T19001-2008/ISO9001:2008《质量管理体系要求》及GB/T50430-2007《工程建设施工企业质量管理规范》，环境管理体系符合GB/T24001-2004/ISO14001:2004标准要求，职业健康安全管理体系符合GB/T28001-2011/OHSAS 18001:2007标准要求；2013年开展安全风险管理体系建设工作，2017年安全风险管理体系经南方电网公司考核认定为“三钻二星”等级。通过这些管理体系的不断完善和有效运行，使得公司的管理水平和市场竞争力不断的得到提升，并真正实现与国际接轨！</w:t>
      </w:r>
    </w:p>
    <w:p>
      <w:pPr>
        <w:ind w:firstLine="560" w:firstLineChars="200"/>
        <w:rPr>
          <w:rFonts w:hint="eastAsia"/>
        </w:rPr>
      </w:pPr>
      <w:r>
        <w:rPr>
          <w:rFonts w:hint="eastAsia"/>
        </w:rPr>
        <w:t>公司自成立以来，承建的送变电工程不仅遍及整个广西区内，还涉及粤、云、贵、川、琼等省外地区以及柬埔寨等东盟国家，至今共完成新建送电线路工程6750.116km，其中500kV：613.59km；230kV：176.606km；220kV：3493.071km；110kV：2466.849km；变电工程总容量为13079.5MVA，其中：新建500kV变电站4座、扩建500kV变电站2座、三通一平2座；换流站1座；220kV变电站29座，扩建220kV变电站29座，新建、扩建110kV变电站78座。所建工程质量全部达到国家验收标准，工程投入运行后，设备运行稳定，安全可靠。2001年至2019年12月共有50个输变电工程共75项被评为省电网公司级以上优质工程，其中鲁班奖（国家优质工程）1项，中国安装之星1项，中国电力优质工程5项，南方电网基建优质工程6项，广西区优质工程18项，广西电网优质工程43项，广西建设工程”真武阁杯”奖1项。</w:t>
      </w:r>
    </w:p>
    <w:p>
      <w:pPr>
        <w:ind w:firstLine="560" w:firstLineChars="200"/>
        <w:rPr>
          <w:rFonts w:hint="eastAsia"/>
        </w:rPr>
      </w:pPr>
      <w:r>
        <w:rPr>
          <w:rFonts w:hint="eastAsia"/>
        </w:rPr>
        <w:t>因工作成绩显著，公司获得多项省级以上电力系统及建筑业荣誉称号：中国电力企业联合会 “电力多种经营优秀企业”、 国家电力公司“全国电力多种经营优秀企业” 、“双文明单位”、中国水利电力质量管理协会“全国电力行业质量管理小组活动优秀企业”、广西企业联合会“广西优质企业”；QC小组在参加全国电力行业质量管理及全国工程建设优秀QC成果评比活动中连获殊荣；2016~2018年分别获得国家知识产权局授予五项专利：一种塔桥式公路跨越架、一种新型钢模板清刷机、一种气动校直机、活动式地脚螺栓定位架、电缆同步输送机组合式固定装置。</w:t>
      </w:r>
    </w:p>
    <w:p>
      <w:pPr>
        <w:ind w:firstLine="560" w:firstLineChars="200"/>
        <w:rPr>
          <w:rFonts w:hint="eastAsia"/>
        </w:rPr>
      </w:pPr>
      <w:r>
        <w:rPr>
          <w:rFonts w:hint="eastAsia"/>
        </w:rPr>
        <w:t>我们将抓住机遇，始终以安全生产为基础、工程质量为中心，以满足并超越顾客需求为目标，积极推行品牌发展战略，内强素质，外拓市场，以全新的企业形象，用“优质的工程质量、优质的服务态度、优质的工程业绩”回报顾客、服务社会，为国家电力事业发展做出更大的贡献！</w:t>
      </w:r>
    </w:p>
    <w:p>
      <w:pPr>
        <w:rPr>
          <w:rFonts w:hint="eastAsia" w:cs="方正小标宋_GBK" w:asciiTheme="minorEastAsia" w:hAnsiTheme="minorEastAsia"/>
          <w:bCs w:val="0"/>
          <w:szCs w:val="32"/>
        </w:rPr>
      </w:pPr>
    </w:p>
    <w:p>
      <w:pPr>
        <w:pStyle w:val="2"/>
        <w:widowControl/>
        <w:spacing w:before="120" w:after="0" w:line="240" w:lineRule="auto"/>
        <w:jc w:val="center"/>
        <w:rPr>
          <w:rFonts w:cs="方正小标宋_GBK" w:asciiTheme="minorEastAsia" w:hAnsiTheme="minorEastAsia"/>
          <w:szCs w:val="32"/>
        </w:rPr>
      </w:pPr>
      <w:r>
        <w:rPr>
          <w:rFonts w:hint="eastAsia" w:cs="方正小标宋_GBK" w:asciiTheme="minorEastAsia" w:hAnsiTheme="minorEastAsia"/>
          <w:bCs w:val="0"/>
          <w:szCs w:val="32"/>
        </w:rPr>
        <w:t>广西绿能电力勘察设计有限公司简介</w:t>
      </w:r>
    </w:p>
    <w:p>
      <w:pPr>
        <w:widowControl/>
        <w:spacing w:before="120"/>
        <w:rPr>
          <w:rFonts w:ascii="Tahoma" w:hAnsi="Tahoma" w:eastAsia="Tahoma" w:cs="Tahoma"/>
          <w:sz w:val="14"/>
          <w:szCs w:val="14"/>
        </w:rPr>
      </w:pPr>
    </w:p>
    <w:p>
      <w:pPr>
        <w:spacing w:line="360" w:lineRule="auto"/>
        <w:contextualSpacing/>
        <w:jc w:val="center"/>
        <w:rPr>
          <w:rFonts w:ascii="仿宋_GB2312" w:hAnsi="仿宋" w:eastAsia="仿宋_GB2312"/>
          <w:sz w:val="32"/>
          <w:szCs w:val="32"/>
        </w:rPr>
      </w:pPr>
    </w:p>
    <w:p>
      <w:pPr>
        <w:ind w:firstLine="560" w:firstLineChars="200"/>
        <w:rPr>
          <w:rFonts w:hint="eastAsia"/>
        </w:rPr>
      </w:pPr>
      <w:r>
        <w:rPr>
          <w:rFonts w:hint="eastAsia"/>
        </w:rPr>
        <w:t>广西绿能电力勘察设计有限公司前身为1979年成立的南宁供电局设计室，专业从事电力工程设计及管理40年，具备送变电设计乙级、新能源发电设计乙级、建筑设计丙级、工程勘察乙级、工程咨询乙级资质、测绘资质丙级</w:t>
      </w:r>
      <w:r>
        <w:rPr>
          <w:rFonts w:hint="eastAsia"/>
          <w:lang w:eastAsia="zh-CN"/>
        </w:rPr>
        <w:t>等资质</w:t>
      </w:r>
      <w:r>
        <w:rPr>
          <w:rFonts w:hint="eastAsia"/>
        </w:rPr>
        <w:t>。</w:t>
      </w:r>
    </w:p>
    <w:p>
      <w:pPr>
        <w:ind w:firstLine="560" w:firstLineChars="200"/>
        <w:rPr>
          <w:rFonts w:hint="eastAsia"/>
        </w:rPr>
      </w:pPr>
      <w:r>
        <w:rPr>
          <w:rFonts w:hint="eastAsia"/>
        </w:rPr>
        <w:t>公司为国家级高新技术企业，中国南方电网配电网设计标准制定企业，承接广西电网重大建设、规划项目骨干设计企业，广西区内首家新能源发电投产项目设计企业，公司通过质量、环境、职业健康安全管理体系认证，近五年来荣获省市级优秀（优质）工程奖项50余项。</w:t>
      </w:r>
    </w:p>
    <w:p>
      <w:pPr>
        <w:ind w:firstLine="560" w:firstLineChars="200"/>
        <w:rPr>
          <w:rFonts w:hint="eastAsia"/>
        </w:rPr>
      </w:pPr>
      <w:r>
        <w:rPr>
          <w:rFonts w:hint="eastAsia"/>
        </w:rPr>
        <w:t>公司现有员工2</w:t>
      </w:r>
      <w:r>
        <w:rPr>
          <w:rFonts w:hint="default"/>
          <w:lang w:val="en-US"/>
        </w:rPr>
        <w:t>11</w:t>
      </w:r>
      <w:r>
        <w:rPr>
          <w:rFonts w:hint="eastAsia"/>
        </w:rPr>
        <w:t>人，本科及以上学历16</w:t>
      </w:r>
      <w:r>
        <w:rPr>
          <w:rFonts w:hint="default"/>
          <w:lang w:val="en-US"/>
        </w:rPr>
        <w:t>8</w:t>
      </w:r>
      <w:r>
        <w:rPr>
          <w:rFonts w:hint="eastAsia"/>
        </w:rPr>
        <w:t>人，中高级专业技术资格10</w:t>
      </w:r>
      <w:r>
        <w:rPr>
          <w:rFonts w:hint="default"/>
          <w:lang w:val="en-US"/>
        </w:rPr>
        <w:t>5</w:t>
      </w:r>
      <w:r>
        <w:rPr>
          <w:rFonts w:hint="eastAsia"/>
        </w:rPr>
        <w:t>人，注册电气工程师等专业类别执业资格持证员工17人。</w:t>
      </w:r>
    </w:p>
    <w:p>
      <w:pPr>
        <w:ind w:firstLine="560" w:firstLineChars="200"/>
        <w:rPr>
          <w:rFonts w:hint="eastAsia"/>
        </w:rPr>
      </w:pPr>
      <w:r>
        <w:rPr>
          <w:rFonts w:hint="eastAsia"/>
        </w:rPr>
        <w:t>公司在配电网设计、电网规划、新能源发电设计、电力工程总承包等专业领域的设计（管理）水平处于广西区内领先地位，近三年来承建“南宁市民族大道维修整治工程”、“南宁市轨道交通1号线西段道路整治提升工程”、“南宁国际会展中心改扩建永久供电设施建设设计工程”等南宁市重点市政基础设施建设电力工程总承包项目20余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505E1"/>
    <w:rsid w:val="00017A7B"/>
    <w:rsid w:val="00044ED6"/>
    <w:rsid w:val="00062BDB"/>
    <w:rsid w:val="00065523"/>
    <w:rsid w:val="00086BAF"/>
    <w:rsid w:val="000A174C"/>
    <w:rsid w:val="000A248F"/>
    <w:rsid w:val="000F4B99"/>
    <w:rsid w:val="001179C4"/>
    <w:rsid w:val="00122CA0"/>
    <w:rsid w:val="00135942"/>
    <w:rsid w:val="001419D6"/>
    <w:rsid w:val="00162FCB"/>
    <w:rsid w:val="00174648"/>
    <w:rsid w:val="00195DCD"/>
    <w:rsid w:val="001C3C69"/>
    <w:rsid w:val="001F5573"/>
    <w:rsid w:val="002211CA"/>
    <w:rsid w:val="002E2920"/>
    <w:rsid w:val="002F2260"/>
    <w:rsid w:val="00305666"/>
    <w:rsid w:val="003446F5"/>
    <w:rsid w:val="00363F17"/>
    <w:rsid w:val="0038754C"/>
    <w:rsid w:val="00397C38"/>
    <w:rsid w:val="003A5531"/>
    <w:rsid w:val="003A653E"/>
    <w:rsid w:val="003B7459"/>
    <w:rsid w:val="003D3FAF"/>
    <w:rsid w:val="003E6CF9"/>
    <w:rsid w:val="003E747F"/>
    <w:rsid w:val="003F4080"/>
    <w:rsid w:val="0042777C"/>
    <w:rsid w:val="00427E9D"/>
    <w:rsid w:val="00451DF3"/>
    <w:rsid w:val="00464F4F"/>
    <w:rsid w:val="00486311"/>
    <w:rsid w:val="00493E1B"/>
    <w:rsid w:val="004B6040"/>
    <w:rsid w:val="004C2459"/>
    <w:rsid w:val="00511CC4"/>
    <w:rsid w:val="00541873"/>
    <w:rsid w:val="00562926"/>
    <w:rsid w:val="00571C65"/>
    <w:rsid w:val="005A20EA"/>
    <w:rsid w:val="005B2506"/>
    <w:rsid w:val="005B338D"/>
    <w:rsid w:val="005D0E42"/>
    <w:rsid w:val="00603A78"/>
    <w:rsid w:val="0060725A"/>
    <w:rsid w:val="00621E87"/>
    <w:rsid w:val="00640A73"/>
    <w:rsid w:val="006A2215"/>
    <w:rsid w:val="006B391A"/>
    <w:rsid w:val="006D2BBA"/>
    <w:rsid w:val="00715B66"/>
    <w:rsid w:val="007171F6"/>
    <w:rsid w:val="00732542"/>
    <w:rsid w:val="00742778"/>
    <w:rsid w:val="00764C96"/>
    <w:rsid w:val="007C18C7"/>
    <w:rsid w:val="007E03B5"/>
    <w:rsid w:val="007E35E2"/>
    <w:rsid w:val="007E4DD5"/>
    <w:rsid w:val="007F5A73"/>
    <w:rsid w:val="008042BC"/>
    <w:rsid w:val="00815871"/>
    <w:rsid w:val="008229B4"/>
    <w:rsid w:val="00881174"/>
    <w:rsid w:val="0089412A"/>
    <w:rsid w:val="008B28E9"/>
    <w:rsid w:val="008D641A"/>
    <w:rsid w:val="008D6B6F"/>
    <w:rsid w:val="008F3A4C"/>
    <w:rsid w:val="008F666E"/>
    <w:rsid w:val="008F7169"/>
    <w:rsid w:val="00906C78"/>
    <w:rsid w:val="00912515"/>
    <w:rsid w:val="009410CD"/>
    <w:rsid w:val="00943A7F"/>
    <w:rsid w:val="0097783B"/>
    <w:rsid w:val="00990E79"/>
    <w:rsid w:val="00991D92"/>
    <w:rsid w:val="00995AA8"/>
    <w:rsid w:val="00996DB6"/>
    <w:rsid w:val="009D0028"/>
    <w:rsid w:val="009D2413"/>
    <w:rsid w:val="009E30E5"/>
    <w:rsid w:val="009E4CED"/>
    <w:rsid w:val="009F5406"/>
    <w:rsid w:val="00A0249E"/>
    <w:rsid w:val="00A13FA6"/>
    <w:rsid w:val="00A140A6"/>
    <w:rsid w:val="00A80FEC"/>
    <w:rsid w:val="00AA2955"/>
    <w:rsid w:val="00AA6ACC"/>
    <w:rsid w:val="00AB75B7"/>
    <w:rsid w:val="00AC4678"/>
    <w:rsid w:val="00AE2D02"/>
    <w:rsid w:val="00AE42BB"/>
    <w:rsid w:val="00AF53AB"/>
    <w:rsid w:val="00B01CA3"/>
    <w:rsid w:val="00B17B47"/>
    <w:rsid w:val="00B96C1A"/>
    <w:rsid w:val="00BA7ED7"/>
    <w:rsid w:val="00BF6EBA"/>
    <w:rsid w:val="00C04BBF"/>
    <w:rsid w:val="00C05DD9"/>
    <w:rsid w:val="00C176C5"/>
    <w:rsid w:val="00C46B6F"/>
    <w:rsid w:val="00C54F2C"/>
    <w:rsid w:val="00C87B81"/>
    <w:rsid w:val="00CB2F69"/>
    <w:rsid w:val="00CD4767"/>
    <w:rsid w:val="00CD763E"/>
    <w:rsid w:val="00CF2A58"/>
    <w:rsid w:val="00CF7485"/>
    <w:rsid w:val="00D0352D"/>
    <w:rsid w:val="00D046E9"/>
    <w:rsid w:val="00D3443F"/>
    <w:rsid w:val="00D34E46"/>
    <w:rsid w:val="00D65943"/>
    <w:rsid w:val="00D82EE7"/>
    <w:rsid w:val="00D83C56"/>
    <w:rsid w:val="00D91A16"/>
    <w:rsid w:val="00DA149B"/>
    <w:rsid w:val="00DA2EDB"/>
    <w:rsid w:val="00DA63F8"/>
    <w:rsid w:val="00DC63D0"/>
    <w:rsid w:val="00DD5261"/>
    <w:rsid w:val="00DE1DF8"/>
    <w:rsid w:val="00DF37C2"/>
    <w:rsid w:val="00E065DF"/>
    <w:rsid w:val="00E43A6C"/>
    <w:rsid w:val="00E56661"/>
    <w:rsid w:val="00EF45FB"/>
    <w:rsid w:val="00F0519B"/>
    <w:rsid w:val="00F475D3"/>
    <w:rsid w:val="00F505E1"/>
    <w:rsid w:val="00F91919"/>
    <w:rsid w:val="00FC5C6B"/>
    <w:rsid w:val="00FD1D75"/>
    <w:rsid w:val="00FD4536"/>
    <w:rsid w:val="00FF2926"/>
    <w:rsid w:val="50FF4BF4"/>
    <w:rsid w:val="54E804B1"/>
    <w:rsid w:val="72FC3D31"/>
    <w:rsid w:val="7E306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8"/>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32"/>
      <w:szCs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uiPriority w:val="99"/>
    <w:rPr>
      <w:sz w:val="18"/>
      <w:szCs w:val="18"/>
    </w:rPr>
  </w:style>
  <w:style w:type="paragraph" w:styleId="4">
    <w:name w:val="footer"/>
    <w:basedOn w:val="1"/>
    <w:link w:val="11"/>
    <w:semiHidden/>
    <w:unhideWhenUsed/>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customStyle="1" w:styleId="9">
    <w:name w:val="标题 1 Char"/>
    <w:basedOn w:val="7"/>
    <w:link w:val="2"/>
    <w:uiPriority w:val="9"/>
    <w:rPr>
      <w:b/>
      <w:bCs/>
      <w:kern w:val="44"/>
      <w:sz w:val="32"/>
      <w:szCs w:val="44"/>
    </w:rPr>
  </w:style>
  <w:style w:type="character" w:customStyle="1" w:styleId="10">
    <w:name w:val="页眉 Char"/>
    <w:basedOn w:val="7"/>
    <w:link w:val="5"/>
    <w:semiHidden/>
    <w:uiPriority w:val="99"/>
    <w:rPr>
      <w:sz w:val="18"/>
      <w:szCs w:val="18"/>
    </w:rPr>
  </w:style>
  <w:style w:type="character" w:customStyle="1" w:styleId="11">
    <w:name w:val="页脚 Char"/>
    <w:basedOn w:val="7"/>
    <w:link w:val="4"/>
    <w:semiHidden/>
    <w:uiPriority w:val="99"/>
    <w:rPr>
      <w:sz w:val="18"/>
      <w:szCs w:val="18"/>
    </w:rPr>
  </w:style>
  <w:style w:type="character" w:customStyle="1" w:styleId="12">
    <w:name w:val="批注框文本 Char"/>
    <w:basedOn w:val="7"/>
    <w:link w:val="3"/>
    <w:semiHidden/>
    <w:uiPriority w:val="99"/>
    <w:rPr>
      <w:sz w:val="18"/>
      <w:szCs w:val="18"/>
    </w:rPr>
  </w:style>
  <w:style w:type="paragraph" w:customStyle="1" w:styleId="13">
    <w:name w:val="HTML Top of Form"/>
    <w:basedOn w:val="1"/>
    <w:next w:val="1"/>
    <w:link w:val="14"/>
    <w:semiHidden/>
    <w:unhideWhenUsed/>
    <w:qFormat/>
    <w:uiPriority w:val="0"/>
    <w:pPr>
      <w:pBdr>
        <w:bottom w:val="single" w:color="auto" w:sz="6" w:space="1"/>
      </w:pBdr>
      <w:jc w:val="center"/>
    </w:pPr>
    <w:rPr>
      <w:rFonts w:ascii="Arial" w:hAnsi="Arial" w:eastAsia="宋体" w:cs="Arial"/>
      <w:vanish/>
      <w:sz w:val="16"/>
      <w:szCs w:val="16"/>
    </w:rPr>
  </w:style>
  <w:style w:type="character" w:customStyle="1" w:styleId="14">
    <w:name w:val="z-窗体顶端 Char"/>
    <w:basedOn w:val="7"/>
    <w:link w:val="13"/>
    <w:semiHidden/>
    <w:qFormat/>
    <w:uiPriority w:val="0"/>
    <w:rPr>
      <w:rFonts w:ascii="Arial" w:hAnsi="Arial" w:eastAsia="宋体" w:cs="Arial"/>
      <w:vanish/>
      <w:sz w:val="16"/>
      <w:szCs w:val="16"/>
    </w:rPr>
  </w:style>
  <w:style w:type="paragraph" w:customStyle="1" w:styleId="15">
    <w:name w:val="HTML Bottom of Form"/>
    <w:basedOn w:val="1"/>
    <w:next w:val="1"/>
    <w:link w:val="16"/>
    <w:semiHidden/>
    <w:unhideWhenUsed/>
    <w:qFormat/>
    <w:uiPriority w:val="0"/>
    <w:pPr>
      <w:pBdr>
        <w:top w:val="single" w:color="auto" w:sz="6" w:space="1"/>
      </w:pBdr>
      <w:jc w:val="center"/>
    </w:pPr>
    <w:rPr>
      <w:rFonts w:ascii="Arial" w:hAnsi="Arial" w:eastAsia="宋体" w:cs="Arial"/>
      <w:vanish/>
      <w:sz w:val="16"/>
      <w:szCs w:val="16"/>
    </w:rPr>
  </w:style>
  <w:style w:type="character" w:customStyle="1" w:styleId="16">
    <w:name w:val="z-窗体底端 Char"/>
    <w:basedOn w:val="7"/>
    <w:link w:val="15"/>
    <w:semiHidden/>
    <w:uiPriority w:val="0"/>
    <w:rPr>
      <w:rFonts w:ascii="Arial" w:hAnsi="Arial" w:eastAsia="宋体" w:cs="Arial"/>
      <w:vanish/>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3732B6-0823-4333-8617-1F4AF78F3F6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861</Words>
  <Characters>4908</Characters>
  <Lines>40</Lines>
  <Paragraphs>11</Paragraphs>
  <TotalTime>1</TotalTime>
  <ScaleCrop>false</ScaleCrop>
  <LinksUpToDate>false</LinksUpToDate>
  <CharactersWithSpaces>5758</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2016-09-18T07:20:00Z</dcterms:created>
  <dc:creator>王玉</dc:creator>
  <cp:lastModifiedBy>蒙奇奇</cp:lastModifiedBy>
  <cp:lastPrinted>2019-12-19T07:27:00Z</cp:lastPrinted>
  <dcterms:modified xsi:type="dcterms:W3CDTF">2020-06-19T01:39:43Z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