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95" w:tblpY="2511"/>
        <w:tblOverlap w:val="never"/>
        <w:tblW w:w="13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00"/>
        <w:gridCol w:w="2439"/>
        <w:gridCol w:w="2813"/>
        <w:gridCol w:w="5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本科学历毕业院校及专业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研究生学历毕业院校及专业</w:t>
            </w:r>
          </w:p>
        </w:tc>
        <w:tc>
          <w:tcPr>
            <w:tcW w:w="5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应聘专业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王发余</w:t>
            </w:r>
          </w:p>
        </w:tc>
        <w:tc>
          <w:tcPr>
            <w:tcW w:w="2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曲阜师范大学国际政治专业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中国政法大学政治学理论专业</w:t>
            </w:r>
          </w:p>
        </w:tc>
        <w:tc>
          <w:tcPr>
            <w:tcW w:w="56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kern w:val="0"/>
                <w:sz w:val="24"/>
                <w:szCs w:val="24"/>
              </w:rPr>
              <w:t>本科：政治学类、中国语言文学类、新闻传播学类、数学类、电子信息类、计算机类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kern w:val="0"/>
                <w:sz w:val="24"/>
                <w:szCs w:val="24"/>
              </w:rPr>
              <w:t>研究生：政治学一级学科、中国语言文学一级学科、新闻传播学一级学科、数学一级学科、信息与通信工程一级学科、计算机科学与技术一级学科、软件工程一级学科、公共管理一级学科、电子科学技术一级学科（数据科学和信息技术二级学科、数据科学与技术二级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宁 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宇</w:t>
            </w:r>
          </w:p>
        </w:tc>
        <w:tc>
          <w:tcPr>
            <w:tcW w:w="2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山东财经大学经济学专业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华中师范大学政府经济学专业</w:t>
            </w:r>
          </w:p>
        </w:tc>
        <w:tc>
          <w:tcPr>
            <w:tcW w:w="56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刘家乐</w:t>
            </w:r>
          </w:p>
        </w:tc>
        <w:tc>
          <w:tcPr>
            <w:tcW w:w="2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电子科技大学电子信息工程专业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56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附件：2020年菏泽市教育考试中心引进高层次人才拟聘用人员名单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5685E"/>
    <w:rsid w:val="044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2020-06-17T09:52:00Z</dcterms:created>
  <dc:creator>andy</dc:creator>
  <cp:lastModifiedBy>andy</cp:lastModifiedBy>
  <dcterms:modified xsi:type="dcterms:W3CDTF">2020-06-17T09:53:34Z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