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23" w:rsidRPr="004F4AED" w:rsidRDefault="00805A23" w:rsidP="004F4AED">
      <w:pPr>
        <w:widowControl/>
        <w:spacing w:line="560" w:lineRule="exact"/>
        <w:contextualSpacing/>
        <w:jc w:val="center"/>
        <w:rPr>
          <w:rFonts w:ascii="方正小标宋_GBK" w:eastAsia="方正小标宋_GBK" w:hAnsi="微软雅黑" w:cs="宋体" w:hint="eastAsia"/>
          <w:bCs/>
          <w:kern w:val="0"/>
          <w:sz w:val="44"/>
          <w:szCs w:val="44"/>
        </w:rPr>
      </w:pPr>
      <w:r w:rsidRPr="004F4AED">
        <w:rPr>
          <w:rFonts w:ascii="方正小标宋_GBK" w:eastAsia="方正小标宋_GBK" w:hAnsi="微软雅黑" w:cs="宋体" w:hint="eastAsia"/>
          <w:bCs/>
          <w:kern w:val="0"/>
          <w:sz w:val="44"/>
          <w:szCs w:val="44"/>
        </w:rPr>
        <w:t>2020年青岛市部分事业单位综合类岗位招聘统一笔试公告</w:t>
      </w:r>
    </w:p>
    <w:p w:rsid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05A2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ind w:firstLineChars="200" w:firstLine="640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2020年青岛市部分事业单位综合类岗位招聘统一笔试定于2020年7月26日举行。现将笔试有关事宜公告如下：</w:t>
      </w:r>
    </w:p>
    <w:p w:rsidR="00805A23" w:rsidRPr="00B31229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</w:t>
      </w:r>
      <w:r w:rsidRPr="004F4AED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 xml:space="preserve">　</w:t>
      </w:r>
      <w:r w:rsidRPr="00B312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一、笔试时间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2020年7月26日9:00—11:30</w:t>
      </w:r>
    </w:p>
    <w:p w:rsidR="00805A23" w:rsidRPr="00B31229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</w:t>
      </w:r>
      <w:r w:rsidRPr="00B312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二、打印准考证时间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2020年7月21日9:00—7月26日9:30，期间考生可登陆青岛市人力资源和社会保障局官网(http://hrss.qingdao.gov.cn) 选择“事业单位招聘”专栏，点击“打印准考证”，进入事业单位招聘网上报名平台打印准考证、《青岛市事业单位公开招聘报名登记表》和《应聘事业单位工作人员诚信承诺书》。</w:t>
      </w:r>
    </w:p>
    <w:p w:rsidR="00805A23" w:rsidRPr="00B31229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</w:t>
      </w:r>
      <w:r w:rsidRPr="004F4AED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 xml:space="preserve">　</w:t>
      </w:r>
      <w:r w:rsidRPr="00B312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三、笔试疫情防控注意事项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1.为保证考生身体健康，根据新冠肺炎常态化疫情防控有关规定，考生进入笔试考点参加笔试，应当主动出示山东省电子健康通行码（绿码），并按要求主动接受体温测量。持非绿码的考生，须提供笔试前7天内在我省检测机构检测后新冠病毒核酸检测阴性证明，并转移至备用考场，在做好个人防护的情况下参加考试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 xml:space="preserve">　　2.无法提供健康证明的，以及经现场卫生防疫专业人员确认有可疑症状（体温37.3℃以上，出现持续干咳、乏力、呼吸困难等症状）的考生，不得进入考场。上述人员自7月27日起，可联系青岛市人力资源和社会保障局人事考试中心（联系电话：15588683585）办理考试退费手续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3.请考生注意个人防护，自备医用外科口罩，除核验考生身份时按要求及时摘戴口罩外，进入笔试考点、参加笔试应当全程佩戴口罩。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4.来青前14天内有国内中、高风险地区或国（境）外旅居史的人员，疫情中、高风险地区本次疫情传播链首例病例确诊前14天内来青的人员和其他疫情重点地区来青的人员，应于7月1日前向青岛市及各区市新冠肺炎疫情防控指挥部办公室对接申报，按照疫情防控有关规定，自觉接受隔离观察、健康管理和核酸检测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5.因7月2日后旅居地疫情风险等级调整为中、高风险而无法来青的考生，可依据当地村居（社区）出具的情况说明，联系市人力资源和社会保障局人事考试中心（联系电话：15588683585）办理考试退费手续。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 xml:space="preserve">　　附件：关于山东省电子健康通行码申领使用、查询疫情风险等级等有关问题的说明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                                   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青岛市人力资源和社会保障局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                                        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 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2020年6月12日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</w:t>
      </w: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4F4AED" w:rsidRDefault="004F4AED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 xml:space="preserve">　附件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  <w:r w:rsidRPr="004F4AED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关于山东省电子健康通行码申领使用、查询疫情风险等级等有关问题的说明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</w:t>
      </w:r>
      <w:r w:rsidRPr="004F4A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一、如何申请办理和使用山东省电子健康通行码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省外考生山东省电子健康通行码（绿码）转换有问题的，可拨打咨询电话0531-67605180或0531-12345。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F4A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二、中、高风险等疫情重点地区流入人员管理有关规定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 xml:space="preserve">　　按照规定，自省外中、高风险等疫情重点地区来鲁人员至少于抵达前3天（不晚于7月1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F4A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三、如何查询所在地区的疫情风险等级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F4A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四、各市疾控部门联系方式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济南市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0531-81278816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青岛市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0532-85661011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淄博市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0533-2184550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枣庄市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0632-3255857、3698916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东营市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0546-8336030、8336080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烟台市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0535-6700925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潍坊市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0536-8789665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济宁市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0537-2655350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泰安市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0538-8489800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威海市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0631-5300012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 xml:space="preserve">　　日照市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0633-7965028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临沂市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0539-8314692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德州市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0534-2628324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聊城市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0635-8436502、8222703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滨州市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0543-3182298</w:t>
      </w:r>
    </w:p>
    <w:p w:rsidR="00805A23" w:rsidRPr="004F4AED" w:rsidRDefault="00805A23" w:rsidP="004F4AED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菏泽市</w:t>
      </w:r>
      <w:r w:rsidRPr="004F4AED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F4A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0530-5969828</w:t>
      </w:r>
    </w:p>
    <w:p w:rsidR="00BB1057" w:rsidRDefault="00BB1057" w:rsidP="004F4AED">
      <w:pPr>
        <w:spacing w:line="560" w:lineRule="exact"/>
        <w:contextualSpacing/>
      </w:pPr>
    </w:p>
    <w:sectPr w:rsidR="00BB1057" w:rsidSect="004F4AE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B8" w:rsidRDefault="00682BB8" w:rsidP="00805A23">
      <w:r>
        <w:separator/>
      </w:r>
    </w:p>
  </w:endnote>
  <w:endnote w:type="continuationSeparator" w:id="1">
    <w:p w:rsidR="00682BB8" w:rsidRDefault="00682BB8" w:rsidP="0080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B8" w:rsidRDefault="00682BB8" w:rsidP="00805A23">
      <w:r>
        <w:separator/>
      </w:r>
    </w:p>
  </w:footnote>
  <w:footnote w:type="continuationSeparator" w:id="1">
    <w:p w:rsidR="00682BB8" w:rsidRDefault="00682BB8" w:rsidP="00805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A23"/>
    <w:rsid w:val="004F4AED"/>
    <w:rsid w:val="00682BB8"/>
    <w:rsid w:val="0076425E"/>
    <w:rsid w:val="00805A23"/>
    <w:rsid w:val="00B31229"/>
    <w:rsid w:val="00BB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A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A2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5A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2922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chengyang1</dc:creator>
  <cp:keywords/>
  <dc:description/>
  <cp:lastModifiedBy>chengyang1</cp:lastModifiedBy>
  <cp:revision>5</cp:revision>
  <dcterms:created xsi:type="dcterms:W3CDTF">2020-06-15T01:15:00Z</dcterms:created>
  <dcterms:modified xsi:type="dcterms:W3CDTF">2020-06-15T09:37:00Z</dcterms:modified>
</cp:coreProperties>
</file>