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sz w:val="44"/>
          <w:szCs w:val="44"/>
        </w:rPr>
      </w:pP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bookmarkStart w:id="0" w:name="_GoBack"/>
      <w:bookmarkEnd w:id="0"/>
    </w:p>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rPr>
          <w:rFonts w:ascii="仿宋_GB2312" w:eastAsia="仿宋_GB2312"/>
          <w:sz w:val="32"/>
          <w:szCs w:val="32"/>
        </w:rPr>
      </w:pPr>
    </w:p>
    <w:p>
      <w:pPr>
        <w:shd w:val="solid" w:color="FFFFFF" w:fill="auto"/>
        <w:autoSpaceDN w:val="0"/>
        <w:spacing w:line="528" w:lineRule="auto"/>
        <w:ind w:firstLine="640"/>
        <w:jc w:val="center"/>
        <w:rPr>
          <w:rFonts w:ascii="方正小标宋简体" w:eastAsia="方正小标宋简体"/>
          <w:sz w:val="36"/>
          <w:szCs w:val="36"/>
        </w:rPr>
      </w:pPr>
      <w:r>
        <w:rPr>
          <w:rFonts w:hint="eastAsia" w:ascii="方正小标宋简体" w:eastAsia="方正小标宋简体"/>
          <w:sz w:val="36"/>
          <w:szCs w:val="36"/>
        </w:rPr>
        <w:t>面试分数线及面试人员名单</w:t>
      </w:r>
    </w:p>
    <w:p>
      <w:pPr>
        <w:jc w:val="center"/>
        <w:rPr>
          <w:rFonts w:ascii="仿宋_GB2312" w:eastAsia="仿宋_GB2312"/>
          <w:sz w:val="32"/>
          <w:szCs w:val="32"/>
        </w:rPr>
      </w:pPr>
      <w:r>
        <w:rPr>
          <w:rFonts w:hint="eastAsia" w:ascii="楷体_GB2312" w:eastAsia="楷体_GB2312"/>
          <w:sz w:val="32"/>
        </w:rPr>
        <w:t>（按准考证号排名）</w:t>
      </w:r>
    </w:p>
    <w:p>
      <w:pPr>
        <w:rPr>
          <w:rFonts w:ascii="仿宋_GB2312" w:eastAsia="仿宋_GB2312"/>
          <w:sz w:val="32"/>
          <w:szCs w:val="32"/>
        </w:rPr>
      </w:pPr>
    </w:p>
    <w:tbl>
      <w:tblPr>
        <w:tblStyle w:val="6"/>
        <w:tblW w:w="8879" w:type="dxa"/>
        <w:jc w:val="center"/>
        <w:tblLayout w:type="fixed"/>
        <w:tblCellMar>
          <w:top w:w="0" w:type="dxa"/>
          <w:left w:w="108" w:type="dxa"/>
          <w:bottom w:w="0" w:type="dxa"/>
          <w:right w:w="108" w:type="dxa"/>
        </w:tblCellMar>
      </w:tblPr>
      <w:tblGrid>
        <w:gridCol w:w="2534"/>
        <w:gridCol w:w="993"/>
        <w:gridCol w:w="1134"/>
        <w:gridCol w:w="2076"/>
        <w:gridCol w:w="1259"/>
        <w:gridCol w:w="883"/>
      </w:tblGrid>
      <w:tr>
        <w:tblPrEx>
          <w:tblCellMar>
            <w:top w:w="0" w:type="dxa"/>
            <w:left w:w="108" w:type="dxa"/>
            <w:bottom w:w="0" w:type="dxa"/>
            <w:right w:w="108" w:type="dxa"/>
          </w:tblCellMar>
        </w:tblPrEx>
        <w:trPr>
          <w:trHeight w:val="955" w:hRule="atLeast"/>
          <w:jc w:val="center"/>
        </w:trPr>
        <w:tc>
          <w:tcPr>
            <w:tcW w:w="25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ascii="黑体" w:hAnsi="黑体" w:eastAsia="黑体"/>
                <w:b/>
                <w:sz w:val="24"/>
                <w:szCs w:val="24"/>
              </w:rPr>
            </w:pPr>
            <w:r>
              <w:rPr>
                <w:rFonts w:ascii="黑体" w:hAnsi="黑体" w:eastAsia="黑体"/>
                <w:b/>
                <w:sz w:val="24"/>
                <w:szCs w:val="24"/>
              </w:rPr>
              <w:t>职位名称及代码</w:t>
            </w:r>
          </w:p>
        </w:tc>
        <w:tc>
          <w:tcPr>
            <w:tcW w:w="99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ascii="黑体" w:hAnsi="黑体" w:eastAsia="黑体"/>
                <w:b/>
                <w:sz w:val="24"/>
                <w:szCs w:val="24"/>
              </w:rPr>
            </w:pPr>
            <w:r>
              <w:rPr>
                <w:rFonts w:hint="eastAsia" w:ascii="黑体" w:hAnsi="黑体" w:eastAsia="黑体"/>
                <w:b/>
                <w:sz w:val="24"/>
                <w:szCs w:val="24"/>
              </w:rPr>
              <w:t>进入面试最低分数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ascii="黑体" w:hAnsi="黑体" w:eastAsia="黑体"/>
                <w:b/>
                <w:sz w:val="24"/>
                <w:szCs w:val="24"/>
              </w:rPr>
            </w:pPr>
            <w:r>
              <w:rPr>
                <w:rFonts w:ascii="黑体" w:hAnsi="黑体" w:eastAsia="黑体"/>
                <w:b/>
                <w:sz w:val="24"/>
                <w:szCs w:val="24"/>
              </w:rPr>
              <w:t>姓  名</w:t>
            </w:r>
          </w:p>
        </w:tc>
        <w:tc>
          <w:tcPr>
            <w:tcW w:w="207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ascii="黑体" w:hAnsi="黑体" w:eastAsia="黑体"/>
                <w:b/>
                <w:sz w:val="24"/>
                <w:szCs w:val="24"/>
              </w:rPr>
            </w:pPr>
            <w:r>
              <w:rPr>
                <w:rFonts w:ascii="黑体" w:hAnsi="黑体" w:eastAsia="黑体"/>
                <w:b/>
                <w:sz w:val="24"/>
                <w:szCs w:val="24"/>
              </w:rPr>
              <w:t>准考证号</w:t>
            </w:r>
          </w:p>
        </w:tc>
        <w:tc>
          <w:tcPr>
            <w:tcW w:w="125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ascii="黑体" w:hAnsi="黑体" w:eastAsia="黑体"/>
                <w:b/>
                <w:sz w:val="24"/>
                <w:szCs w:val="24"/>
              </w:rPr>
            </w:pPr>
            <w:r>
              <w:rPr>
                <w:rFonts w:ascii="黑体" w:hAnsi="黑体" w:eastAsia="黑体"/>
                <w:b/>
                <w:sz w:val="24"/>
                <w:szCs w:val="24"/>
              </w:rPr>
              <w:t>面试时间</w:t>
            </w:r>
          </w:p>
        </w:tc>
        <w:tc>
          <w:tcPr>
            <w:tcW w:w="883"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440" w:lineRule="exact"/>
              <w:jc w:val="center"/>
              <w:rPr>
                <w:rFonts w:ascii="黑体" w:hAnsi="黑体" w:eastAsia="黑体"/>
                <w:b/>
                <w:sz w:val="24"/>
                <w:szCs w:val="24"/>
              </w:rPr>
            </w:pPr>
            <w:r>
              <w:rPr>
                <w:rFonts w:ascii="黑体" w:hAnsi="黑体" w:eastAsia="黑体"/>
                <w:b/>
                <w:sz w:val="24"/>
                <w:szCs w:val="24"/>
              </w:rPr>
              <w:t>备 注</w:t>
            </w:r>
          </w:p>
        </w:tc>
      </w:tr>
      <w:tr>
        <w:tblPrEx>
          <w:tblCellMar>
            <w:top w:w="0" w:type="dxa"/>
            <w:left w:w="108" w:type="dxa"/>
            <w:bottom w:w="0" w:type="dxa"/>
            <w:right w:w="108" w:type="dxa"/>
          </w:tblCellMar>
        </w:tblPrEx>
        <w:trPr>
          <w:trHeight w:val="859" w:hRule="exact"/>
          <w:jc w:val="center"/>
        </w:trPr>
        <w:tc>
          <w:tcPr>
            <w:tcW w:w="25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 w:hAnsi="仿宋" w:eastAsia="仿宋"/>
                <w:sz w:val="24"/>
                <w:szCs w:val="24"/>
              </w:rPr>
            </w:pPr>
            <w:r>
              <w:rPr>
                <w:rFonts w:hint="eastAsia" w:ascii="仿宋" w:hAnsi="仿宋" w:eastAsia="仿宋"/>
                <w:sz w:val="24"/>
                <w:szCs w:val="24"/>
              </w:rPr>
              <w:t>计财处一级主任科员及以下</w:t>
            </w:r>
            <w:r>
              <w:rPr>
                <w:rFonts w:ascii="仿宋" w:hAnsi="仿宋" w:eastAsia="仿宋"/>
                <w:sz w:val="24"/>
                <w:szCs w:val="24"/>
              </w:rPr>
              <w:t>（400110411001）</w:t>
            </w:r>
          </w:p>
        </w:tc>
        <w:tc>
          <w:tcPr>
            <w:tcW w:w="99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 w:hAnsi="仿宋" w:eastAsia="仿宋"/>
                <w:sz w:val="24"/>
                <w:szCs w:val="24"/>
              </w:rPr>
            </w:pPr>
            <w:r>
              <w:rPr>
                <w:rFonts w:hint="eastAsia" w:ascii="仿宋" w:hAnsi="仿宋" w:eastAsia="仿宋"/>
                <w:sz w:val="24"/>
                <w:szCs w:val="24"/>
              </w:rPr>
              <w:t>134.90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宋梓宁</w:t>
            </w:r>
          </w:p>
        </w:tc>
        <w:tc>
          <w:tcPr>
            <w:tcW w:w="20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N w:val="0"/>
              <w:spacing w:line="528" w:lineRule="auto"/>
              <w:jc w:val="center"/>
              <w:rPr>
                <w:rFonts w:ascii="仿宋" w:hAnsi="仿宋" w:eastAsia="仿宋"/>
                <w:sz w:val="24"/>
                <w:szCs w:val="24"/>
              </w:rPr>
            </w:pPr>
            <w:r>
              <w:rPr>
                <w:rFonts w:ascii="仿宋" w:hAnsi="仿宋" w:eastAsia="仿宋"/>
                <w:sz w:val="24"/>
                <w:szCs w:val="24"/>
              </w:rPr>
              <w:t>153122010401318153153010703419</w:t>
            </w:r>
          </w:p>
        </w:tc>
        <w:tc>
          <w:tcPr>
            <w:tcW w:w="1259"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 w:hAnsi="仿宋" w:eastAsia="仿宋"/>
                <w:sz w:val="24"/>
                <w:szCs w:val="24"/>
              </w:rPr>
            </w:pPr>
            <w:r>
              <w:rPr>
                <w:rFonts w:hint="eastAsia" w:ascii="仿宋" w:hAnsi="仿宋" w:eastAsia="仿宋"/>
                <w:sz w:val="24"/>
                <w:szCs w:val="24"/>
              </w:rPr>
              <w:t>6月30日（上午）</w:t>
            </w:r>
          </w:p>
        </w:tc>
        <w:tc>
          <w:tcPr>
            <w:tcW w:w="88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 w:hAnsi="仿宋" w:eastAsia="仿宋"/>
                <w:sz w:val="24"/>
                <w:szCs w:val="24"/>
              </w:rPr>
            </w:pPr>
          </w:p>
        </w:tc>
      </w:tr>
      <w:tr>
        <w:tblPrEx>
          <w:tblCellMar>
            <w:top w:w="0" w:type="dxa"/>
            <w:left w:w="108" w:type="dxa"/>
            <w:bottom w:w="0" w:type="dxa"/>
            <w:right w:w="108" w:type="dxa"/>
          </w:tblCellMar>
        </w:tblPrEx>
        <w:trPr>
          <w:trHeight w:val="859" w:hRule="exact"/>
          <w:jc w:val="center"/>
        </w:trPr>
        <w:tc>
          <w:tcPr>
            <w:tcW w:w="25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 w:hAnsi="仿宋" w:eastAsia="仿宋"/>
                <w:sz w:val="24"/>
                <w:szCs w:val="24"/>
              </w:rPr>
            </w:pPr>
          </w:p>
        </w:tc>
        <w:tc>
          <w:tcPr>
            <w:tcW w:w="99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 w:hAnsi="仿宋" w:eastAsia="仿宋"/>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 w:hAnsi="仿宋" w:eastAsia="仿宋"/>
                <w:sz w:val="24"/>
                <w:szCs w:val="24"/>
              </w:rPr>
            </w:pPr>
            <w:r>
              <w:rPr>
                <w:rFonts w:hint="eastAsia" w:ascii="仿宋" w:hAnsi="仿宋" w:eastAsia="仿宋"/>
                <w:sz w:val="24"/>
                <w:szCs w:val="24"/>
              </w:rPr>
              <w:t>赵智杰</w:t>
            </w:r>
          </w:p>
        </w:tc>
        <w:tc>
          <w:tcPr>
            <w:tcW w:w="20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N w:val="0"/>
              <w:spacing w:line="528" w:lineRule="auto"/>
              <w:jc w:val="center"/>
              <w:rPr>
                <w:rFonts w:ascii="仿宋" w:hAnsi="仿宋" w:eastAsia="仿宋"/>
                <w:sz w:val="24"/>
                <w:szCs w:val="24"/>
              </w:rPr>
            </w:pPr>
            <w:r>
              <w:rPr>
                <w:rFonts w:ascii="仿宋" w:hAnsi="仿宋" w:eastAsia="仿宋"/>
                <w:sz w:val="24"/>
                <w:szCs w:val="24"/>
              </w:rPr>
              <w:t>153150010303910</w:t>
            </w:r>
          </w:p>
        </w:tc>
        <w:tc>
          <w:tcPr>
            <w:tcW w:w="125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 w:hAnsi="仿宋" w:eastAsia="仿宋"/>
                <w:sz w:val="24"/>
                <w:szCs w:val="24"/>
              </w:rPr>
            </w:pPr>
          </w:p>
        </w:tc>
        <w:tc>
          <w:tcPr>
            <w:tcW w:w="88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 w:hAnsi="仿宋" w:eastAsia="仿宋"/>
                <w:sz w:val="24"/>
                <w:szCs w:val="24"/>
              </w:rPr>
            </w:pPr>
          </w:p>
        </w:tc>
      </w:tr>
      <w:tr>
        <w:tblPrEx>
          <w:tblCellMar>
            <w:top w:w="0" w:type="dxa"/>
            <w:left w:w="108" w:type="dxa"/>
            <w:bottom w:w="0" w:type="dxa"/>
            <w:right w:w="108" w:type="dxa"/>
          </w:tblCellMar>
        </w:tblPrEx>
        <w:trPr>
          <w:trHeight w:val="701" w:hRule="exact"/>
          <w:jc w:val="center"/>
        </w:trPr>
        <w:tc>
          <w:tcPr>
            <w:tcW w:w="25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szCs w:val="24"/>
              </w:rPr>
            </w:pPr>
          </w:p>
        </w:tc>
        <w:tc>
          <w:tcPr>
            <w:tcW w:w="99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 w:hAnsi="仿宋" w:eastAsia="仿宋"/>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 w:hAnsi="仿宋" w:eastAsia="仿宋"/>
                <w:sz w:val="24"/>
                <w:szCs w:val="24"/>
              </w:rPr>
            </w:pPr>
            <w:r>
              <w:rPr>
                <w:rFonts w:hint="eastAsia" w:ascii="仿宋" w:hAnsi="仿宋" w:eastAsia="仿宋"/>
                <w:sz w:val="24"/>
                <w:szCs w:val="24"/>
              </w:rPr>
              <w:t>邓  磊</w:t>
            </w:r>
          </w:p>
        </w:tc>
        <w:tc>
          <w:tcPr>
            <w:tcW w:w="20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N w:val="0"/>
              <w:spacing w:line="528" w:lineRule="auto"/>
              <w:jc w:val="center"/>
              <w:rPr>
                <w:rFonts w:ascii="仿宋" w:hAnsi="仿宋" w:eastAsia="仿宋"/>
                <w:sz w:val="24"/>
                <w:szCs w:val="24"/>
              </w:rPr>
            </w:pPr>
            <w:r>
              <w:rPr>
                <w:rFonts w:ascii="仿宋" w:hAnsi="仿宋" w:eastAsia="仿宋"/>
                <w:sz w:val="24"/>
                <w:szCs w:val="24"/>
              </w:rPr>
              <w:t>153153010703419</w:t>
            </w:r>
          </w:p>
        </w:tc>
        <w:tc>
          <w:tcPr>
            <w:tcW w:w="1259"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sz w:val="24"/>
                <w:szCs w:val="24"/>
              </w:rPr>
            </w:pPr>
          </w:p>
        </w:tc>
        <w:tc>
          <w:tcPr>
            <w:tcW w:w="88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 w:hAnsi="仿宋" w:eastAsia="仿宋"/>
                <w:sz w:val="24"/>
                <w:szCs w:val="24"/>
              </w:rPr>
            </w:pPr>
          </w:p>
        </w:tc>
      </w:tr>
    </w:tbl>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580" w:lineRule="exact"/>
        <w:rPr>
          <w:rFonts w:ascii="黑体" w:hAnsi="黑体" w:eastAsia="黑体"/>
          <w:bCs/>
          <w:color w:val="000000"/>
          <w:spacing w:val="8"/>
          <w:sz w:val="32"/>
          <w:szCs w:val="32"/>
        </w:rPr>
      </w:pPr>
    </w:p>
    <w:p>
      <w:pPr>
        <w:spacing w:line="580" w:lineRule="exact"/>
        <w:rPr>
          <w:rFonts w:ascii="黑体" w:hAnsi="黑体" w:eastAsia="黑体"/>
          <w:bCs/>
          <w:color w:val="000000"/>
          <w:spacing w:val="8"/>
          <w:sz w:val="32"/>
          <w:szCs w:val="32"/>
        </w:rPr>
      </w:pPr>
    </w:p>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rPr>
          <w:rFonts w:ascii="仿宋_GB2312" w:eastAsia="仿宋_GB2312"/>
          <w:sz w:val="32"/>
          <w:szCs w:val="32"/>
        </w:rPr>
      </w:pPr>
    </w:p>
    <w:p>
      <w:pPr>
        <w:shd w:val="solid" w:color="FFFFFF" w:fill="auto"/>
        <w:autoSpaceDN w:val="0"/>
        <w:spacing w:line="528" w:lineRule="auto"/>
        <w:jc w:val="center"/>
        <w:rPr>
          <w:rFonts w:ascii="方正小标宋简体" w:eastAsia="方正小标宋简体"/>
          <w:sz w:val="36"/>
          <w:szCs w:val="36"/>
        </w:rPr>
      </w:pPr>
      <w:r>
        <w:rPr>
          <w:rFonts w:hint="eastAsia" w:ascii="方正小标宋简体" w:eastAsia="方正小标宋简体"/>
          <w:sz w:val="36"/>
          <w:szCs w:val="36"/>
        </w:rPr>
        <w:t>XXX确认参加重庆市气象局计财处</w:t>
      </w:r>
    </w:p>
    <w:p>
      <w:pPr>
        <w:shd w:val="solid" w:color="FFFFFF" w:fill="auto"/>
        <w:autoSpaceDN w:val="0"/>
        <w:spacing w:line="528" w:lineRule="auto"/>
        <w:jc w:val="center"/>
        <w:rPr>
          <w:rFonts w:ascii="方正小标宋简体" w:eastAsia="方正小标宋简体"/>
          <w:sz w:val="36"/>
          <w:szCs w:val="36"/>
        </w:rPr>
      </w:pPr>
      <w:r>
        <w:rPr>
          <w:rFonts w:hint="eastAsia" w:ascii="方正小标宋简体" w:eastAsia="方正小标宋简体"/>
          <w:sz w:val="36"/>
          <w:szCs w:val="36"/>
        </w:rPr>
        <w:t>一级主任科员及以下职位面试</w:t>
      </w:r>
    </w:p>
    <w:p>
      <w:pPr>
        <w:rPr>
          <w:rFonts w:ascii="仿宋_GB2312" w:eastAsia="仿宋_GB2312"/>
          <w:sz w:val="32"/>
          <w:szCs w:val="32"/>
        </w:rPr>
      </w:pPr>
    </w:p>
    <w:p>
      <w:pPr>
        <w:widowControl/>
        <w:adjustRightInd w:val="0"/>
        <w:snapToGrid w:val="0"/>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重庆市气象局人事处：</w:t>
      </w:r>
    </w:p>
    <w:p>
      <w:pPr>
        <w:widowControl/>
        <w:adjustRightInd w:val="0"/>
        <w:snapToGrid w:val="0"/>
        <w:spacing w:line="56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本人XXX，身份证号：XXXXXXXXXXXXXXXXXX，公共科目笔试总成绩：XXXXX，报考重庆市气象局计财处一级主任科员及以下职位（职位代码：</w:t>
      </w:r>
      <w:r>
        <w:rPr>
          <w:rFonts w:hint="eastAsia" w:ascii="仿宋_GB2312" w:eastAsia="仿宋_GB2312"/>
          <w:bCs/>
          <w:spacing w:val="8"/>
          <w:sz w:val="32"/>
          <w:szCs w:val="32"/>
        </w:rPr>
        <w:t>400110411001</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ascii="仿宋_GB2312" w:eastAsia="仿宋_GB2312" w:cs="宋体"/>
          <w:kern w:val="0"/>
          <w:sz w:val="32"/>
          <w:szCs w:val="32"/>
        </w:rPr>
      </w:pPr>
    </w:p>
    <w:p>
      <w:pPr>
        <w:widowControl/>
        <w:adjustRightInd w:val="0"/>
        <w:snapToGrid w:val="0"/>
        <w:spacing w:line="56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ind w:firstLine="640" w:firstLineChars="200"/>
        <w:rPr>
          <w:rFonts w:ascii="仿宋_GB2312" w:eastAsia="仿宋_GB2312"/>
          <w:sz w:val="32"/>
          <w:szCs w:val="32"/>
        </w:rPr>
      </w:pPr>
      <w:r>
        <w:rPr>
          <w:rFonts w:hint="eastAsia" w:ascii="仿宋_GB2312" w:eastAsia="仿宋_GB2312" w:cs="宋体"/>
          <w:kern w:val="0"/>
          <w:sz w:val="32"/>
          <w:szCs w:val="32"/>
        </w:rPr>
        <w:t>日期：</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580" w:lineRule="exact"/>
        <w:rPr>
          <w:rFonts w:ascii="黑体" w:hAnsi="黑体" w:eastAsia="黑体"/>
          <w:bCs/>
          <w:color w:val="000000"/>
          <w:spacing w:val="8"/>
          <w:sz w:val="32"/>
          <w:szCs w:val="32"/>
        </w:rPr>
      </w:pPr>
    </w:p>
    <w:p>
      <w:pPr>
        <w:spacing w:line="58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rPr>
          <w:rFonts w:ascii="仿宋_GB2312" w:eastAsia="仿宋_GB2312"/>
          <w:sz w:val="32"/>
          <w:szCs w:val="32"/>
        </w:rPr>
      </w:pPr>
    </w:p>
    <w:p>
      <w:pPr>
        <w:shd w:val="solid" w:color="FFFFFF" w:fill="auto"/>
        <w:autoSpaceDN w:val="0"/>
        <w:spacing w:line="528" w:lineRule="auto"/>
        <w:jc w:val="center"/>
        <w:rPr>
          <w:rFonts w:ascii="方正小标宋简体" w:eastAsia="方正小标宋简体"/>
          <w:sz w:val="36"/>
          <w:szCs w:val="36"/>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sz w:val="36"/>
          <w:szCs w:val="36"/>
        </w:rPr>
        <w:t>放弃面试资格声明</w:t>
      </w:r>
      <w:r>
        <w:rPr>
          <w:rFonts w:hint="eastAsia" w:ascii="方正小标宋简体" w:eastAsia="方正小标宋简体"/>
          <w:sz w:val="36"/>
          <w:szCs w:val="36"/>
        </w:rPr>
        <w:fldChar w:fldCharType="end"/>
      </w:r>
    </w:p>
    <w:p>
      <w:pPr>
        <w:rPr>
          <w:rFonts w:ascii="仿宋_GB2312" w:eastAsia="仿宋_GB2312"/>
          <w:sz w:val="32"/>
          <w:szCs w:val="32"/>
        </w:rPr>
      </w:pPr>
    </w:p>
    <w:p>
      <w:pPr>
        <w:widowControl/>
        <w:adjustRightInd w:val="0"/>
        <w:snapToGrid w:val="0"/>
        <w:spacing w:line="560" w:lineRule="exact"/>
        <w:jc w:val="left"/>
        <w:rPr>
          <w:rFonts w:ascii="仿宋_GB2312" w:eastAsia="仿宋_GB2312" w:cs="宋体"/>
          <w:kern w:val="0"/>
          <w:sz w:val="32"/>
          <w:szCs w:val="32"/>
        </w:rPr>
      </w:pPr>
      <w:r>
        <w:rPr>
          <w:rFonts w:hint="eastAsia" w:ascii="仿宋_GB2312" w:eastAsia="仿宋_GB2312" w:cs="宋体"/>
          <w:kern w:val="0"/>
          <w:sz w:val="32"/>
          <w:szCs w:val="32"/>
        </w:rPr>
        <w:t>重庆市气象局人事处：</w:t>
      </w:r>
    </w:p>
    <w:p>
      <w:pPr>
        <w:widowControl/>
        <w:adjustRightInd w:val="0"/>
        <w:snapToGrid w:val="0"/>
        <w:spacing w:line="56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本人XXX，身份证号：XXXXXXXXXXX，报考重庆市气象局计财处一级主任科员及以下职位（职位代码：</w:t>
      </w:r>
      <w:r>
        <w:rPr>
          <w:rFonts w:ascii="仿宋_GB2312" w:eastAsia="仿宋_GB2312" w:cs="宋体"/>
          <w:kern w:val="0"/>
          <w:sz w:val="32"/>
          <w:szCs w:val="32"/>
        </w:rPr>
        <w:t>400110411001</w:t>
      </w:r>
      <w:r>
        <w:rPr>
          <w:rFonts w:hint="eastAsia" w:ascii="仿宋_GB2312"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560" w:lineRule="exact"/>
        <w:ind w:firstLine="640" w:firstLineChars="200"/>
        <w:jc w:val="left"/>
        <w:rPr>
          <w:rFonts w:ascii="仿宋_GB2312" w:eastAsia="仿宋_GB2312" w:cs="宋体"/>
          <w:kern w:val="0"/>
          <w:sz w:val="32"/>
          <w:szCs w:val="32"/>
        </w:rPr>
      </w:pPr>
    </w:p>
    <w:p>
      <w:pPr>
        <w:widowControl/>
        <w:adjustRightInd w:val="0"/>
        <w:snapToGrid w:val="0"/>
        <w:spacing w:line="56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签名（考生本人手写）：      </w:t>
      </w:r>
    </w:p>
    <w:p>
      <w:pPr>
        <w:ind w:firstLine="640" w:firstLineChars="200"/>
        <w:rPr>
          <w:rFonts w:ascii="仿宋_GB2312" w:eastAsia="仿宋_GB2312"/>
          <w:sz w:val="32"/>
          <w:szCs w:val="32"/>
        </w:rPr>
      </w:pPr>
      <w:r>
        <w:rPr>
          <w:rFonts w:hint="eastAsia" w:ascii="仿宋_GB2312" w:eastAsia="仿宋_GB2312" w:cs="宋体"/>
          <w:kern w:val="0"/>
          <w:sz w:val="32"/>
          <w:szCs w:val="32"/>
        </w:rPr>
        <w:t>日期：</w:t>
      </w:r>
    </w:p>
    <w:p>
      <w:pPr>
        <w:rPr>
          <w:rFonts w:ascii="仿宋_GB2312" w:eastAsia="仿宋_GB2312"/>
          <w:sz w:val="32"/>
          <w:szCs w:val="32"/>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r>
        <w:rPr>
          <w:rFonts w:hint="eastAsia" w:ascii="黑体" w:hAnsi="黑体" w:eastAsia="黑体"/>
          <w:sz w:val="32"/>
          <w:szCs w:val="32"/>
        </w:rPr>
        <w:t>附件4</w:t>
      </w:r>
    </w:p>
    <w:p>
      <w:pPr>
        <w:spacing w:line="580" w:lineRule="exact"/>
        <w:rPr>
          <w:rFonts w:eastAsia="仿宋_GB2312"/>
          <w:sz w:val="32"/>
          <w:szCs w:val="32"/>
        </w:rPr>
      </w:pPr>
      <w:r>
        <w:rPr>
          <w:rFonts w:hint="eastAsia" w:eastAsia="仿宋_GB2312"/>
          <w:sz w:val="32"/>
          <w:szCs w:val="32"/>
        </w:rPr>
        <w:t xml:space="preserve">   </w:t>
      </w:r>
    </w:p>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重庆市气象局</w:t>
      </w:r>
      <w:r>
        <w:rPr>
          <w:rFonts w:ascii="方正小标宋简体" w:hAnsi="方正小标宋简体" w:eastAsia="方正小标宋简体" w:cs="方正小标宋简体"/>
          <w:sz w:val="36"/>
          <w:szCs w:val="36"/>
        </w:rPr>
        <w:t>2020年度</w:t>
      </w:r>
      <w:r>
        <w:rPr>
          <w:rFonts w:hint="eastAsia" w:ascii="方正小标宋简体" w:hAnsi="方正小标宋简体" w:eastAsia="方正小标宋简体" w:cs="方正小标宋简体"/>
          <w:sz w:val="36"/>
          <w:szCs w:val="36"/>
        </w:rPr>
        <w:t>考试录用</w:t>
      </w:r>
    </w:p>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参照公务员法管理事业单位机关工作人员面试考生</w:t>
      </w:r>
    </w:p>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新冠肺炎疫情防控告知书</w:t>
      </w:r>
    </w:p>
    <w:p>
      <w:pPr>
        <w:spacing w:line="580" w:lineRule="exact"/>
        <w:ind w:firstLine="640" w:firstLineChars="200"/>
        <w:rPr>
          <w:rFonts w:ascii="仿宋_GB2312" w:eastAsia="仿宋_GB2312" w:cs="宋体"/>
          <w:kern w:val="0"/>
          <w:sz w:val="32"/>
          <w:szCs w:val="32"/>
        </w:rPr>
      </w:pPr>
    </w:p>
    <w:p>
      <w:pPr>
        <w:numPr>
          <w:ilvl w:val="0"/>
          <w:numId w:val="1"/>
        </w:numPr>
        <w:spacing w:line="580" w:lineRule="exact"/>
        <w:ind w:firstLine="640" w:firstLineChars="200"/>
        <w:rPr>
          <w:rFonts w:ascii="仿宋_GB2312" w:eastAsia="仿宋_GB2312" w:cs="宋体"/>
          <w:kern w:val="0"/>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考生应保持良好的卫生习惯，从即日起至面试前，不前往国内疫情中高风险地区，不出国（境），不参加聚集性活动。</w:t>
      </w:r>
      <w:r>
        <w:rPr>
          <w:rFonts w:hint="eastAsia" w:ascii="仿宋_GB2312" w:eastAsia="仿宋_GB2312" w:cs="宋体"/>
          <w:kern w:val="0"/>
          <w:sz w:val="32"/>
          <w:szCs w:val="32"/>
        </w:rPr>
        <w:t>入围面试的考生应在6月15日前申领“渝康码”和“国家政务服务平台健康码”，并每日在“国家政务服务平台健康码”上进行健康申报，在资格复审、面试当天报到时主动向工作人员出示“两码”和“</w:t>
      </w:r>
      <w:r>
        <w:rPr>
          <w:rFonts w:hint="eastAsia" w:ascii="仿宋_GB2312" w:hAnsi="宋体" w:eastAsia="仿宋_GB2312" w:cs="宋体"/>
          <w:color w:val="000000"/>
          <w:kern w:val="0"/>
          <w:sz w:val="32"/>
          <w:szCs w:val="32"/>
        </w:rPr>
        <w:t>通信大数据行程卡</w:t>
      </w:r>
      <w:r>
        <w:rPr>
          <w:rFonts w:hint="eastAsia" w:ascii="仿宋_GB2312" w:eastAsia="仿宋_GB2312" w:cs="宋体"/>
          <w:kern w:val="0"/>
          <w:sz w:val="32"/>
          <w:szCs w:val="32"/>
        </w:rPr>
        <w:t>”。</w:t>
      </w:r>
    </w:p>
    <w:p>
      <w:pPr>
        <w:numPr>
          <w:ilvl w:val="0"/>
          <w:numId w:val="1"/>
        </w:numPr>
        <w:spacing w:line="58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按当前疫情防控有关要求，面试当天“渝康码”、“国家政务服务平台健康码”和“</w:t>
      </w:r>
      <w:r>
        <w:rPr>
          <w:rFonts w:hint="eastAsia" w:ascii="仿宋_GB2312" w:hAnsi="宋体" w:eastAsia="仿宋_GB2312" w:cs="宋体"/>
          <w:color w:val="000000"/>
          <w:kern w:val="0"/>
          <w:sz w:val="32"/>
          <w:szCs w:val="32"/>
        </w:rPr>
        <w:t>通信大数据行程卡</w:t>
      </w:r>
      <w:r>
        <w:rPr>
          <w:rFonts w:hint="eastAsia" w:ascii="仿宋_GB2312" w:eastAsia="仿宋_GB2312" w:cs="宋体"/>
          <w:kern w:val="0"/>
          <w:sz w:val="32"/>
          <w:szCs w:val="32"/>
        </w:rPr>
        <w:t>”为绿码并报告旅居史，经现场测量体温正常（＜37.3℃）者方可进入考点。其中来自湖北省、吉林省丰满区抵渝后需第一时间进行核酸检测，国外（包括港澳台）回国的考生抵渝后进行14天的集中隔离医学观察和核酸检测（来渝集中隔离或核酸检测人员需预留足够时间）。参加面试的考生应自备一次性医用口罩或无呼吸阀的N95口罩，除身份确认、面试答题环节需摘除口罩以外，应全程佩戴，做好个人防护。</w:t>
      </w:r>
    </w:p>
    <w:p>
      <w:pPr>
        <w:spacing w:line="58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三、面试前14天内有国内疫情中高风险地区或国（境）外旅居史、有新冠肺炎确诊病例、疑似病例或无症状感染者密切接触史的考生，应按照属地政府疫情防疫有关要求，配合安排至指定地点进行集中隔离医学观察；面试当天</w:t>
      </w:r>
      <w:r>
        <w:rPr>
          <w:rFonts w:hint="eastAsia" w:ascii="仿宋_GB2312" w:hAnsi="仿宋_GB2312" w:eastAsia="仿宋_GB2312" w:cs="仿宋_GB2312"/>
          <w:sz w:val="32"/>
          <w:szCs w:val="32"/>
        </w:rPr>
        <w:t>出现体温≥37.3℃、咳嗽等新冠肺炎疑似症状</w:t>
      </w:r>
      <w:r>
        <w:rPr>
          <w:rFonts w:hint="eastAsia" w:ascii="仿宋_GB2312" w:eastAsia="仿宋_GB2312" w:cs="宋体"/>
          <w:kern w:val="0"/>
          <w:sz w:val="32"/>
          <w:szCs w:val="32"/>
        </w:rPr>
        <w:t>，应配合至医院发热门诊就诊。因上述情形被集中隔离医学观察或被送至医院发热门诊就诊的考生及其同职位的考生，不再参加当日面试，面试时间另行安排。</w:t>
      </w:r>
    </w:p>
    <w:p>
      <w:pPr>
        <w:spacing w:line="58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四、考生如因有相关旅居史、密切接触史等流行病学史被集中隔离，面试当天无法到达考点报到的，须于面试当天上午8:00前主动向重庆市气象局人事处报告并按有关要求及时提供被集中隔离的相关证明，否则视为放弃面试资格。</w:t>
      </w:r>
    </w:p>
    <w:p>
      <w:pPr>
        <w:spacing w:line="58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五、考生应在规定的时间认真阅读、签署《重庆市气象局2020年考试录用</w:t>
      </w:r>
      <w:r>
        <w:rPr>
          <w:rFonts w:hint="eastAsia" w:eastAsia="仿宋_GB2312"/>
          <w:sz w:val="32"/>
          <w:szCs w:val="32"/>
        </w:rPr>
        <w:t>参照公务员法管理事业单位机关工作人员</w:t>
      </w:r>
      <w:r>
        <w:rPr>
          <w:rFonts w:hint="eastAsia" w:ascii="仿宋_GB2312" w:eastAsia="仿宋_GB2312" w:cs="宋体"/>
          <w:kern w:val="0"/>
          <w:sz w:val="32"/>
          <w:szCs w:val="32"/>
        </w:rPr>
        <w:t>面试考生新冠肺炎疫情防控告知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相应资格，并记入公务员考录诚信档案，如有违法行为，将依法追究其法律责任。</w:t>
      </w:r>
    </w:p>
    <w:p>
      <w:pPr>
        <w:spacing w:line="580" w:lineRule="exact"/>
        <w:ind w:firstLine="672" w:firstLineChars="200"/>
        <w:rPr>
          <w:rFonts w:ascii="仿宋_GB2312" w:eastAsia="仿宋_GB2312"/>
          <w:bCs/>
          <w:color w:val="000000" w:themeColor="text1"/>
          <w:spacing w:val="8"/>
          <w:sz w:val="32"/>
          <w:szCs w:val="32"/>
          <w14:textFill>
            <w14:solidFill>
              <w14:schemeClr w14:val="tx1"/>
            </w14:solidFill>
          </w14:textFill>
        </w:rPr>
      </w:pPr>
      <w:r>
        <w:rPr>
          <w:rFonts w:hint="eastAsia" w:ascii="仿宋_GB2312" w:eastAsia="仿宋_GB2312"/>
          <w:bCs/>
          <w:color w:val="000000" w:themeColor="text1"/>
          <w:spacing w:val="8"/>
          <w:sz w:val="32"/>
          <w:szCs w:val="32"/>
          <w14:textFill>
            <w14:solidFill>
              <w14:schemeClr w14:val="tx1"/>
            </w14:solidFill>
          </w14:textFill>
        </w:rPr>
        <w:t>六、中高风险地区、</w:t>
      </w:r>
      <w:r>
        <w:rPr>
          <w:rFonts w:hint="eastAsia" w:eastAsia="仿宋_GB2312"/>
          <w:sz w:val="32"/>
          <w:szCs w:val="32"/>
        </w:rPr>
        <w:t>行程卡</w:t>
      </w:r>
      <w:r>
        <w:rPr>
          <w:rFonts w:hint="eastAsia" w:ascii="仿宋_GB2312" w:eastAsia="仿宋_GB2312"/>
          <w:bCs/>
          <w:color w:val="000000" w:themeColor="text1"/>
          <w:spacing w:val="8"/>
          <w:sz w:val="32"/>
          <w:szCs w:val="32"/>
          <w14:textFill>
            <w14:solidFill>
              <w14:schemeClr w14:val="tx1"/>
            </w14:solidFill>
          </w14:textFill>
        </w:rPr>
        <w:t>、健康码查询方式如下：</w:t>
      </w:r>
    </w:p>
    <w:p>
      <w:pPr>
        <w:widowControl/>
        <w:spacing w:line="580" w:lineRule="exact"/>
        <w:ind w:firstLine="672" w:firstLineChars="200"/>
        <w:rPr>
          <w:rFonts w:ascii="仿宋_GB2312" w:eastAsia="仿宋_GB2312"/>
          <w:bCs/>
          <w:color w:val="000000" w:themeColor="text1"/>
          <w:spacing w:val="8"/>
          <w:sz w:val="32"/>
          <w:szCs w:val="32"/>
          <w14:textFill>
            <w14:solidFill>
              <w14:schemeClr w14:val="tx1"/>
            </w14:solidFill>
          </w14:textFill>
        </w:rPr>
      </w:pPr>
      <w:r>
        <w:rPr>
          <w:rFonts w:hint="eastAsia" w:ascii="仿宋_GB2312" w:eastAsia="仿宋_GB2312"/>
          <w:bCs/>
          <w:color w:val="000000" w:themeColor="text1"/>
          <w:spacing w:val="8"/>
          <w:sz w:val="32"/>
          <w:szCs w:val="32"/>
          <w14:textFill>
            <w14:solidFill>
              <w14:schemeClr w14:val="tx1"/>
            </w14:solidFill>
          </w14:textFill>
        </w:rPr>
        <w:t>中高风险地区以国家卫生健康委公布的信息为准，具体可登录http://bmfw.www.gov.cn/yqfxdjcx/index.html查询；“</w:t>
      </w:r>
      <w:r>
        <w:rPr>
          <w:rFonts w:ascii="仿宋_GB2312" w:hAnsi="宋体" w:eastAsia="仿宋_GB2312" w:cs="宋体"/>
          <w:kern w:val="0"/>
          <w:sz w:val="32"/>
          <w:szCs w:val="32"/>
        </w:rPr>
        <w:t>通信大数据行程卡</w:t>
      </w:r>
      <w:r>
        <w:rPr>
          <w:rFonts w:hint="eastAsia" w:ascii="仿宋_GB2312" w:eastAsia="仿宋_GB2312"/>
          <w:bCs/>
          <w:color w:val="000000" w:themeColor="text1"/>
          <w:spacing w:val="8"/>
          <w:sz w:val="32"/>
          <w:szCs w:val="32"/>
          <w14:textFill>
            <w14:solidFill>
              <w14:schemeClr w14:val="tx1"/>
            </w14:solidFill>
          </w14:textFill>
        </w:rPr>
        <w:t>”</w:t>
      </w:r>
      <w:r>
        <w:rPr>
          <w:rFonts w:ascii="仿宋_GB2312" w:hAnsi="宋体" w:eastAsia="仿宋_GB2312" w:cs="宋体"/>
          <w:kern w:val="0"/>
          <w:sz w:val="32"/>
          <w:szCs w:val="32"/>
        </w:rPr>
        <w:t>可通过本人微信搜索“通信行程卡”小程序查询</w:t>
      </w:r>
      <w:r>
        <w:rPr>
          <w:rFonts w:hint="eastAsia" w:ascii="仿宋_GB2312" w:hAnsi="宋体" w:eastAsia="仿宋_GB2312" w:cs="宋体"/>
          <w:kern w:val="0"/>
          <w:sz w:val="32"/>
          <w:szCs w:val="32"/>
        </w:rPr>
        <w:t>。</w:t>
      </w:r>
      <w:r>
        <w:rPr>
          <w:rFonts w:hint="eastAsia" w:ascii="仿宋_GB2312" w:eastAsia="仿宋_GB2312"/>
          <w:bCs/>
          <w:color w:val="000000" w:themeColor="text1"/>
          <w:spacing w:val="8"/>
          <w:sz w:val="32"/>
          <w:szCs w:val="32"/>
          <w14:textFill>
            <w14:solidFill>
              <w14:schemeClr w14:val="tx1"/>
            </w14:solidFill>
          </w14:textFill>
        </w:rPr>
        <w:t>也可通过扫描微信小程序二维码查询，二维码见下图。</w:t>
      </w:r>
    </w:p>
    <w:p>
      <w:pPr>
        <w:jc w:val="center"/>
        <w:rPr>
          <w:rFonts w:ascii="仿宋_GB2312" w:eastAsia="仿宋_GB2312"/>
          <w:bCs/>
          <w:color w:val="000000" w:themeColor="text1"/>
          <w:spacing w:val="8"/>
          <w:sz w:val="32"/>
          <w:szCs w:val="32"/>
          <w14:textFill>
            <w14:solidFill>
              <w14:schemeClr w14:val="tx1"/>
            </w14:solidFill>
          </w14:textFill>
        </w:rPr>
      </w:pPr>
      <w:r>
        <w:rPr>
          <w:rFonts w:ascii="宋体" w:hAnsi="宋体" w:cs="宋体"/>
          <w:kern w:val="0"/>
          <w:sz w:val="24"/>
          <w:szCs w:val="24"/>
        </w:rPr>
        <w:drawing>
          <wp:anchor distT="0" distB="0" distL="0" distR="0" simplePos="0" relativeHeight="251660288" behindDoc="0" locked="0" layoutInCell="1" allowOverlap="1">
            <wp:simplePos x="0" y="0"/>
            <wp:positionH relativeFrom="column">
              <wp:posOffset>3303270</wp:posOffset>
            </wp:positionH>
            <wp:positionV relativeFrom="paragraph">
              <wp:posOffset>180975</wp:posOffset>
            </wp:positionV>
            <wp:extent cx="1950720" cy="1911985"/>
            <wp:effectExtent l="0" t="0" r="11430" b="12065"/>
            <wp:wrapSquare wrapText="bothSides"/>
            <wp:docPr id="2"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50720" cy="1911985"/>
                    </a:xfrm>
                    <a:prstGeom prst="rect">
                      <a:avLst/>
                    </a:prstGeom>
                    <a:noFill/>
                    <a:ln>
                      <a:noFill/>
                    </a:ln>
                  </pic:spPr>
                </pic:pic>
              </a:graphicData>
            </a:graphic>
          </wp:anchor>
        </w:drawing>
      </w:r>
      <w:r>
        <w:rPr>
          <w:rFonts w:eastAsia="仿宋_GB2312"/>
          <w:color w:val="000000"/>
          <w:sz w:val="36"/>
          <w:szCs w:val="36"/>
        </w:rPr>
        <w:drawing>
          <wp:anchor distT="0" distB="0" distL="0" distR="0" simplePos="0" relativeHeight="251659264" behindDoc="0" locked="0" layoutInCell="1" allowOverlap="1">
            <wp:simplePos x="0" y="0"/>
            <wp:positionH relativeFrom="column">
              <wp:posOffset>-99695</wp:posOffset>
            </wp:positionH>
            <wp:positionV relativeFrom="paragraph">
              <wp:posOffset>137160</wp:posOffset>
            </wp:positionV>
            <wp:extent cx="2038350" cy="1981835"/>
            <wp:effectExtent l="0" t="0" r="0" b="18415"/>
            <wp:wrapTopAndBottom/>
            <wp:docPr id="1" name="图片 1" descr="https://ks3-cn-beijing.ksyun.com/zgw/article/7442/content/20200601112928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ks3-cn-beijing.ksyun.com/zgw/article/7442/content/20200601112928_1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38350" cy="1981835"/>
                    </a:xfrm>
                    <a:prstGeom prst="rect">
                      <a:avLst/>
                    </a:prstGeom>
                    <a:noFill/>
                    <a:ln>
                      <a:noFill/>
                    </a:ln>
                  </pic:spPr>
                </pic:pic>
              </a:graphicData>
            </a:graphic>
          </wp:anchor>
        </w:drawing>
      </w:r>
    </w:p>
    <w:p>
      <w:pPr>
        <w:ind w:firstLine="672" w:firstLineChars="200"/>
        <w:jc w:val="left"/>
        <w:rPr>
          <w:rFonts w:ascii="仿宋_GB2312" w:eastAsia="仿宋_GB2312"/>
          <w:bCs/>
          <w:color w:val="000000" w:themeColor="text1"/>
          <w:spacing w:val="8"/>
          <w:sz w:val="32"/>
          <w:szCs w:val="32"/>
          <w14:textFill>
            <w14:solidFill>
              <w14:schemeClr w14:val="tx1"/>
            </w14:solidFill>
          </w14:textFill>
        </w:rPr>
      </w:pPr>
      <w:r>
        <w:rPr>
          <w:rFonts w:hint="eastAsia" w:ascii="仿宋_GB2312" w:eastAsia="仿宋_GB2312"/>
          <w:bCs/>
          <w:color w:val="000000" w:themeColor="text1"/>
          <w:spacing w:val="8"/>
          <w:sz w:val="32"/>
          <w:szCs w:val="32"/>
          <w14:textFill>
            <w14:solidFill>
              <w14:schemeClr w14:val="tx1"/>
            </w14:solidFill>
          </w14:textFill>
        </w:rPr>
        <w:t>“渝康码”、“</w:t>
      </w:r>
      <w:r>
        <w:rPr>
          <w:rFonts w:hint="eastAsia" w:ascii="仿宋_GB2312" w:eastAsia="仿宋_GB2312" w:cs="宋体"/>
          <w:kern w:val="0"/>
          <w:sz w:val="32"/>
          <w:szCs w:val="32"/>
        </w:rPr>
        <w:t>国家政务服务平台健康码</w:t>
      </w:r>
      <w:r>
        <w:rPr>
          <w:rFonts w:hint="eastAsia" w:ascii="仿宋_GB2312" w:eastAsia="仿宋_GB2312"/>
          <w:bCs/>
          <w:color w:val="000000" w:themeColor="text1"/>
          <w:spacing w:val="8"/>
          <w:sz w:val="32"/>
          <w:szCs w:val="32"/>
          <w14:textFill>
            <w14:solidFill>
              <w14:schemeClr w14:val="tx1"/>
            </w14:solidFill>
          </w14:textFill>
        </w:rPr>
        <w:t>”可通过本人微信或支付宝搜索“重庆健康出行一码通”和“</w:t>
      </w:r>
      <w:r>
        <w:rPr>
          <w:rFonts w:hint="eastAsia" w:ascii="仿宋_GB2312" w:eastAsia="仿宋_GB2312" w:cs="宋体"/>
          <w:kern w:val="0"/>
          <w:sz w:val="32"/>
          <w:szCs w:val="32"/>
        </w:rPr>
        <w:t>国家政务服务平台</w:t>
      </w:r>
      <w:r>
        <w:rPr>
          <w:rFonts w:hint="eastAsia" w:ascii="仿宋_GB2312" w:eastAsia="仿宋_GB2312"/>
          <w:bCs/>
          <w:color w:val="000000" w:themeColor="text1"/>
          <w:spacing w:val="8"/>
          <w:sz w:val="32"/>
          <w:szCs w:val="32"/>
          <w14:textFill>
            <w14:solidFill>
              <w14:schemeClr w14:val="tx1"/>
            </w14:solidFill>
          </w14:textFill>
        </w:rPr>
        <w:t>”小程序申领和查询，也可通过微信或支付宝扫描二维码查询，二维码见下图。</w:t>
      </w:r>
    </w:p>
    <w:p>
      <w:pPr>
        <w:ind w:firstLine="520" w:firstLineChars="200"/>
        <w:jc w:val="left"/>
        <w:rPr>
          <w:rFonts w:ascii="仿宋_GB2312" w:eastAsia="仿宋_GB2312"/>
          <w:bCs/>
          <w:color w:val="000000" w:themeColor="text1"/>
          <w:spacing w:val="8"/>
          <w:sz w:val="32"/>
          <w:szCs w:val="32"/>
          <w14:textFill>
            <w14:solidFill>
              <w14:schemeClr w14:val="tx1"/>
            </w14:solidFill>
          </w14:textFill>
        </w:rPr>
      </w:pPr>
      <w:r>
        <w:rPr>
          <w:rFonts w:ascii="宋体" w:hAnsi="宋体" w:cs="宋体"/>
          <w:kern w:val="0"/>
          <w:sz w:val="26"/>
          <w:szCs w:val="26"/>
        </w:rPr>
        <w:drawing>
          <wp:anchor distT="0" distB="0" distL="114300" distR="114300" simplePos="0" relativeHeight="251658240" behindDoc="1" locked="0" layoutInCell="1" allowOverlap="1">
            <wp:simplePos x="0" y="0"/>
            <wp:positionH relativeFrom="column">
              <wp:posOffset>3293110</wp:posOffset>
            </wp:positionH>
            <wp:positionV relativeFrom="paragraph">
              <wp:posOffset>363220</wp:posOffset>
            </wp:positionV>
            <wp:extent cx="2095500" cy="2048510"/>
            <wp:effectExtent l="0" t="0" r="0" b="8890"/>
            <wp:wrapTight wrapText="bothSides">
              <wp:wrapPolygon>
                <wp:start x="0" y="0"/>
                <wp:lineTo x="0" y="21493"/>
                <wp:lineTo x="393" y="21493"/>
                <wp:lineTo x="21011" y="21493"/>
                <wp:lineTo x="21404" y="21493"/>
                <wp:lineTo x="21404" y="0"/>
                <wp:lineTo x="0" y="0"/>
              </wp:wrapPolygon>
            </wp:wrapTight>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95500" cy="2048510"/>
                    </a:xfrm>
                    <a:prstGeom prst="rect">
                      <a:avLst/>
                    </a:prstGeom>
                    <a:noFill/>
                    <a:ln w="9525" cmpd="sng">
                      <a:noFill/>
                      <a:miter lim="800000"/>
                      <a:headEnd/>
                      <a:tailEnd/>
                    </a:ln>
                  </pic:spPr>
                </pic:pic>
              </a:graphicData>
            </a:graphic>
          </wp:anchor>
        </w:drawing>
      </w:r>
      <w:r>
        <w:rPr>
          <w:rFonts w:ascii="仿宋_GB2312" w:eastAsia="仿宋_GB2312"/>
          <w:bCs/>
          <w:color w:val="000000" w:themeColor="text1"/>
          <w:spacing w:val="8"/>
          <w:sz w:val="32"/>
          <w:szCs w:val="32"/>
          <w14:textFill>
            <w14:solidFill>
              <w14:schemeClr w14:val="tx1"/>
            </w14:solidFill>
          </w14:textFill>
        </w:rPr>
        <w:drawing>
          <wp:anchor distT="0" distB="0" distL="114300" distR="114300" simplePos="0" relativeHeight="251661312" behindDoc="0" locked="0" layoutInCell="1" allowOverlap="1">
            <wp:simplePos x="0" y="0"/>
            <wp:positionH relativeFrom="column">
              <wp:posOffset>-146050</wp:posOffset>
            </wp:positionH>
            <wp:positionV relativeFrom="paragraph">
              <wp:posOffset>295275</wp:posOffset>
            </wp:positionV>
            <wp:extent cx="2273935" cy="1955165"/>
            <wp:effectExtent l="0" t="0" r="12065" b="6985"/>
            <wp:wrapSquare wrapText="bothSides"/>
            <wp:docPr id="3" name="图片 3" descr="27bb8b6295ec723118f4e5fd7cd3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7bb8b6295ec723118f4e5fd7cd3e49"/>
                    <pic:cNvPicPr>
                      <a:picLocks noChangeAspect="1"/>
                    </pic:cNvPicPr>
                  </pic:nvPicPr>
                  <pic:blipFill>
                    <a:blip r:embed="rId8"/>
                    <a:stretch>
                      <a:fillRect/>
                    </a:stretch>
                  </pic:blipFill>
                  <pic:spPr>
                    <a:xfrm>
                      <a:off x="0" y="0"/>
                      <a:ext cx="2273935" cy="1955165"/>
                    </a:xfrm>
                    <a:prstGeom prst="rect">
                      <a:avLst/>
                    </a:prstGeom>
                  </pic:spPr>
                </pic:pic>
              </a:graphicData>
            </a:graphic>
          </wp:anchor>
        </w:drawing>
      </w:r>
    </w:p>
    <w:p>
      <w:pPr>
        <w:widowControl/>
        <w:spacing w:line="580" w:lineRule="exact"/>
        <w:ind w:firstLine="672" w:firstLineChars="200"/>
        <w:rPr>
          <w:rFonts w:ascii="宋体" w:hAnsi="宋体" w:cs="宋体"/>
          <w:kern w:val="0"/>
          <w:sz w:val="26"/>
          <w:szCs w:val="26"/>
        </w:rPr>
      </w:pPr>
      <w:r>
        <w:rPr>
          <w:rFonts w:ascii="仿宋_GB2312" w:eastAsia="仿宋_GB2312"/>
          <w:bCs/>
          <w:color w:val="000000" w:themeColor="text1"/>
          <w:spacing w:val="8"/>
          <w:sz w:val="32"/>
          <w:szCs w:val="32"/>
          <w14:textFill>
            <w14:solidFill>
              <w14:schemeClr w14:val="tx1"/>
            </w14:solidFill>
          </w14:textFill>
        </w:rPr>
        <w:t xml:space="preserve"> </w:t>
      </w:r>
    </w:p>
    <w:p>
      <w:pPr>
        <w:widowControl/>
        <w:jc w:val="center"/>
        <w:rPr>
          <w:rFonts w:ascii="仿宋_GB2312" w:hAnsi="宋体" w:eastAsia="仿宋_GB2312" w:cs="宋体"/>
          <w:color w:val="000000"/>
          <w:kern w:val="0"/>
          <w:sz w:val="32"/>
          <w:szCs w:val="32"/>
        </w:rPr>
      </w:pPr>
    </w:p>
    <w:p>
      <w:pPr>
        <w:rPr>
          <w:rFonts w:ascii="仿宋_GB2312" w:eastAsia="仿宋_GB2312"/>
          <w:bCs/>
          <w:color w:val="000000" w:themeColor="text1"/>
          <w:spacing w:val="8"/>
          <w:sz w:val="32"/>
          <w:szCs w:val="32"/>
          <w14:textFill>
            <w14:solidFill>
              <w14:schemeClr w14:val="tx1"/>
            </w14:solidFill>
          </w14:textFill>
        </w:rPr>
      </w:pPr>
      <w:r>
        <w:rPr>
          <w:rFonts w:hint="eastAsia" w:ascii="仿宋_GB2312" w:hAnsi="宋体" w:eastAsia="仿宋_GB2312" w:cs="宋体"/>
          <w:color w:val="000000"/>
          <w:kern w:val="0"/>
          <w:sz w:val="32"/>
          <w:szCs w:val="32"/>
        </w:rPr>
        <w:t xml:space="preserve">    </w:t>
      </w:r>
    </w:p>
    <w:p>
      <w:pPr>
        <w:spacing w:line="580" w:lineRule="exact"/>
        <w:rPr>
          <w:rFonts w:ascii="仿宋_GB2312" w:eastAsia="仿宋_GB2312" w:cs="宋体"/>
          <w:kern w:val="0"/>
          <w:sz w:val="32"/>
          <w:szCs w:val="32"/>
        </w:rPr>
      </w:pPr>
    </w:p>
    <w:p>
      <w:pPr>
        <w:spacing w:line="580" w:lineRule="exact"/>
        <w:rPr>
          <w:rFonts w:ascii="仿宋_GB2312" w:eastAsia="仿宋_GB2312" w:cs="宋体"/>
          <w:kern w:val="0"/>
          <w:sz w:val="32"/>
          <w:szCs w:val="32"/>
        </w:rPr>
      </w:pPr>
    </w:p>
    <w:p>
      <w:pPr>
        <w:spacing w:line="580" w:lineRule="exact"/>
        <w:rPr>
          <w:rFonts w:ascii="仿宋_GB2312" w:eastAsia="仿宋_GB2312" w:cs="宋体"/>
          <w:kern w:val="0"/>
          <w:sz w:val="32"/>
          <w:szCs w:val="32"/>
        </w:rPr>
      </w:pPr>
    </w:p>
    <w:p>
      <w:pPr>
        <w:spacing w:line="580" w:lineRule="exact"/>
        <w:rPr>
          <w:rFonts w:ascii="仿宋_GB2312" w:eastAsia="仿宋_GB2312" w:cs="宋体"/>
          <w:kern w:val="0"/>
          <w:sz w:val="32"/>
          <w:szCs w:val="32"/>
        </w:rPr>
      </w:pPr>
    </w:p>
    <w:p>
      <w:pPr>
        <w:spacing w:line="594" w:lineRule="exact"/>
        <w:rPr>
          <w:rFonts w:ascii="黑体" w:hAnsi="黑体" w:eastAsia="黑体" w:cs="方正黑体_GBK"/>
          <w:color w:val="000000"/>
          <w:spacing w:val="8"/>
          <w:sz w:val="32"/>
          <w:szCs w:val="32"/>
        </w:rPr>
      </w:pPr>
    </w:p>
    <w:p>
      <w:pPr>
        <w:spacing w:line="594" w:lineRule="exact"/>
        <w:rPr>
          <w:rFonts w:ascii="黑体" w:hAnsi="黑体" w:eastAsia="黑体" w:cs="方正黑体_GBK"/>
          <w:color w:val="000000"/>
          <w:spacing w:val="8"/>
          <w:sz w:val="32"/>
          <w:szCs w:val="32"/>
        </w:rPr>
      </w:pPr>
    </w:p>
    <w:p>
      <w:pPr>
        <w:spacing w:line="594" w:lineRule="exact"/>
        <w:rPr>
          <w:rFonts w:ascii="黑体" w:hAnsi="黑体" w:eastAsia="黑体" w:cs="方正黑体_GBK"/>
          <w:color w:val="000000"/>
          <w:spacing w:val="8"/>
          <w:sz w:val="32"/>
          <w:szCs w:val="32"/>
        </w:rPr>
      </w:pPr>
    </w:p>
    <w:p>
      <w:pPr>
        <w:spacing w:line="594" w:lineRule="exact"/>
        <w:rPr>
          <w:rFonts w:ascii="黑体" w:hAnsi="黑体" w:eastAsia="黑体" w:cs="方正黑体_GBK"/>
          <w:color w:val="000000"/>
          <w:spacing w:val="8"/>
          <w:sz w:val="32"/>
          <w:szCs w:val="32"/>
        </w:rPr>
      </w:pPr>
    </w:p>
    <w:p>
      <w:pPr>
        <w:spacing w:line="594" w:lineRule="exact"/>
        <w:rPr>
          <w:rFonts w:ascii="黑体" w:hAnsi="黑体" w:eastAsia="黑体" w:cs="方正黑体_GBK"/>
          <w:color w:val="000000"/>
          <w:spacing w:val="8"/>
          <w:sz w:val="32"/>
          <w:szCs w:val="32"/>
        </w:rPr>
      </w:pPr>
    </w:p>
    <w:p>
      <w:pPr>
        <w:spacing w:line="594" w:lineRule="exact"/>
        <w:rPr>
          <w:rFonts w:ascii="黑体" w:hAnsi="黑体" w:eastAsia="黑体" w:cs="方正黑体_GBK"/>
          <w:color w:val="000000"/>
          <w:spacing w:val="8"/>
          <w:sz w:val="32"/>
          <w:szCs w:val="32"/>
        </w:rPr>
      </w:pPr>
    </w:p>
    <w:p>
      <w:pPr>
        <w:spacing w:line="594" w:lineRule="exact"/>
        <w:rPr>
          <w:rFonts w:ascii="黑体" w:hAnsi="黑体" w:eastAsia="黑体" w:cs="方正黑体_GBK"/>
          <w:color w:val="000000"/>
          <w:spacing w:val="8"/>
          <w:sz w:val="32"/>
          <w:szCs w:val="32"/>
        </w:rPr>
      </w:pPr>
    </w:p>
    <w:p>
      <w:pPr>
        <w:spacing w:line="594" w:lineRule="exact"/>
        <w:rPr>
          <w:rFonts w:ascii="黑体" w:hAnsi="黑体" w:eastAsia="黑体" w:cs="方正黑体_GBK"/>
          <w:color w:val="000000"/>
          <w:spacing w:val="8"/>
          <w:sz w:val="32"/>
          <w:szCs w:val="32"/>
        </w:rPr>
      </w:pPr>
    </w:p>
    <w:p>
      <w:pPr>
        <w:spacing w:line="594" w:lineRule="exact"/>
        <w:rPr>
          <w:rFonts w:ascii="黑体" w:hAnsi="黑体" w:eastAsia="黑体" w:cs="方正黑体_GBK"/>
          <w:color w:val="000000"/>
          <w:spacing w:val="8"/>
          <w:sz w:val="32"/>
          <w:szCs w:val="32"/>
        </w:rPr>
      </w:pPr>
    </w:p>
    <w:p>
      <w:pPr>
        <w:spacing w:line="594" w:lineRule="exact"/>
        <w:rPr>
          <w:rFonts w:ascii="黑体" w:hAnsi="黑体" w:eastAsia="黑体" w:cs="方正黑体_GBK"/>
          <w:color w:val="000000"/>
          <w:spacing w:val="8"/>
          <w:sz w:val="32"/>
          <w:szCs w:val="32"/>
        </w:rPr>
      </w:pPr>
    </w:p>
    <w:p>
      <w:pPr>
        <w:spacing w:line="594" w:lineRule="exact"/>
        <w:rPr>
          <w:rFonts w:ascii="黑体" w:hAnsi="黑体" w:eastAsia="黑体" w:cs="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w:t>
      </w:r>
      <w:r>
        <w:t xml:space="preserve">                                         </w:t>
      </w:r>
      <w:r>
        <w:rPr>
          <w:rFonts w:hint="eastAsia" w:cs="宋体"/>
        </w:rPr>
        <w:t>身份证号：</w:t>
      </w:r>
    </w:p>
    <w:tbl>
      <w:tblPr>
        <w:tblStyle w:val="6"/>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ind w:left="-540"/>
        <w:rPr>
          <w:rFonts w:eastAsia="仿宋_GB2312"/>
          <w:sz w:val="32"/>
          <w:szCs w:val="32"/>
          <w:shd w:val="clear" w:color="auto" w:fill="FFFFFF"/>
        </w:rPr>
      </w:pPr>
      <w:r>
        <w:t xml:space="preserve">  </w:t>
      </w:r>
      <w:r>
        <w:rPr>
          <w:rFonts w:hint="eastAsia" w:cs="宋体"/>
        </w:rPr>
        <w:t>填表说明：请填表人实事求是的填写，以免影响正常录用工作，未经单位签章此表无效。</w:t>
      </w:r>
    </w:p>
    <w:p>
      <w:pPr>
        <w:rPr>
          <w:rFonts w:ascii="仿宋_GB2312" w:eastAsia="仿宋_GB2312"/>
          <w:sz w:val="32"/>
          <w:szCs w:val="32"/>
        </w:rPr>
      </w:pP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方正小标宋简体">
    <w:panose1 w:val="02000000000000000000"/>
    <w:charset w:val="86"/>
    <w:family w:val="script"/>
    <w:pitch w:val="default"/>
    <w:sig w:usb0="A00002BF" w:usb1="184F6CFA" w:usb2="00000012" w:usb3="00000000" w:csb0="00040003" w:csb1="00000000"/>
  </w:font>
  <w:font w:name="仿宋_GB2312">
    <w:altName w:val="Arial Unicode MS"/>
    <w:panose1 w:val="02010609030101010101"/>
    <w:charset w:val="86"/>
    <w:family w:val="modern"/>
    <w:pitch w:val="default"/>
    <w:sig w:usb0="00000000" w:usb1="00000000" w:usb2="00000010" w:usb3="00000000" w:csb0="00040000" w:csb1="00000000"/>
  </w:font>
  <w:font w:name="楷体_GB2312">
    <w:altName w:val="Arial Unicode MS"/>
    <w:panose1 w:val="02010609030101010101"/>
    <w:charset w:val="86"/>
    <w:family w:val="modern"/>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仿宋_GBK">
    <w:altName w:val="Arial Unicode MS"/>
    <w:panose1 w:val="00000000000000000000"/>
    <w:charset w:val="86"/>
    <w:family w:val="script"/>
    <w:pitch w:val="default"/>
    <w:sig w:usb0="00000000" w:usb1="00000000" w:usb2="00000000" w:usb3="00000000" w:csb0="00040000" w:csb1="00000000"/>
  </w:font>
  <w:font w:name="方正黑体_GBK">
    <w:altName w:val="Arial Unicode MS"/>
    <w:panose1 w:val="00000000000000000000"/>
    <w:charset w:val="86"/>
    <w:family w:val="script"/>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591962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7642DC"/>
    <w:multiLevelType w:val="singleLevel"/>
    <w:tmpl w:val="E37642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E2"/>
    <w:rsid w:val="00006E97"/>
    <w:rsid w:val="000163B8"/>
    <w:rsid w:val="0004212D"/>
    <w:rsid w:val="00043D2B"/>
    <w:rsid w:val="000676FB"/>
    <w:rsid w:val="00074E7F"/>
    <w:rsid w:val="000D1554"/>
    <w:rsid w:val="000D7C76"/>
    <w:rsid w:val="001339F0"/>
    <w:rsid w:val="00186B91"/>
    <w:rsid w:val="001B0F8F"/>
    <w:rsid w:val="001C5147"/>
    <w:rsid w:val="00206CD8"/>
    <w:rsid w:val="002122A4"/>
    <w:rsid w:val="0021490A"/>
    <w:rsid w:val="00215054"/>
    <w:rsid w:val="00244F09"/>
    <w:rsid w:val="002608C6"/>
    <w:rsid w:val="002724DC"/>
    <w:rsid w:val="00290D78"/>
    <w:rsid w:val="002C054F"/>
    <w:rsid w:val="002C4374"/>
    <w:rsid w:val="002C4DB8"/>
    <w:rsid w:val="00303B9A"/>
    <w:rsid w:val="00311846"/>
    <w:rsid w:val="00333B9B"/>
    <w:rsid w:val="00344F33"/>
    <w:rsid w:val="003523A7"/>
    <w:rsid w:val="0036771B"/>
    <w:rsid w:val="003E0465"/>
    <w:rsid w:val="003E29B3"/>
    <w:rsid w:val="00430115"/>
    <w:rsid w:val="00442576"/>
    <w:rsid w:val="004669A7"/>
    <w:rsid w:val="00494A7D"/>
    <w:rsid w:val="005119A5"/>
    <w:rsid w:val="00531439"/>
    <w:rsid w:val="00545D44"/>
    <w:rsid w:val="005938C9"/>
    <w:rsid w:val="005A7C27"/>
    <w:rsid w:val="005A7CEB"/>
    <w:rsid w:val="005B3D78"/>
    <w:rsid w:val="005C2E7C"/>
    <w:rsid w:val="005D2E7F"/>
    <w:rsid w:val="005E095B"/>
    <w:rsid w:val="006131A2"/>
    <w:rsid w:val="00623870"/>
    <w:rsid w:val="006251CC"/>
    <w:rsid w:val="0064209F"/>
    <w:rsid w:val="00651350"/>
    <w:rsid w:val="00653B5F"/>
    <w:rsid w:val="00686CF7"/>
    <w:rsid w:val="006A3777"/>
    <w:rsid w:val="006E31C9"/>
    <w:rsid w:val="006E6523"/>
    <w:rsid w:val="007147A3"/>
    <w:rsid w:val="007430C6"/>
    <w:rsid w:val="007430E8"/>
    <w:rsid w:val="007B7CA8"/>
    <w:rsid w:val="007D692E"/>
    <w:rsid w:val="007D7164"/>
    <w:rsid w:val="007E0491"/>
    <w:rsid w:val="007E2E00"/>
    <w:rsid w:val="007E7A0F"/>
    <w:rsid w:val="007F5168"/>
    <w:rsid w:val="00810292"/>
    <w:rsid w:val="00831B4A"/>
    <w:rsid w:val="008329E1"/>
    <w:rsid w:val="00850FD0"/>
    <w:rsid w:val="008830F7"/>
    <w:rsid w:val="008917B9"/>
    <w:rsid w:val="008A1640"/>
    <w:rsid w:val="008C1A3D"/>
    <w:rsid w:val="008C6055"/>
    <w:rsid w:val="008D64AF"/>
    <w:rsid w:val="0092046F"/>
    <w:rsid w:val="009230DE"/>
    <w:rsid w:val="009345B8"/>
    <w:rsid w:val="009514E2"/>
    <w:rsid w:val="00960221"/>
    <w:rsid w:val="00963CB6"/>
    <w:rsid w:val="00965338"/>
    <w:rsid w:val="00995AE4"/>
    <w:rsid w:val="00997B3C"/>
    <w:rsid w:val="009A0556"/>
    <w:rsid w:val="009A7317"/>
    <w:rsid w:val="009E3E4C"/>
    <w:rsid w:val="00A57CA1"/>
    <w:rsid w:val="00A75524"/>
    <w:rsid w:val="00A96039"/>
    <w:rsid w:val="00AC7EDB"/>
    <w:rsid w:val="00AE578D"/>
    <w:rsid w:val="00AE7D88"/>
    <w:rsid w:val="00B20D1D"/>
    <w:rsid w:val="00BA32F7"/>
    <w:rsid w:val="00BE20C0"/>
    <w:rsid w:val="00C31C3C"/>
    <w:rsid w:val="00C4047D"/>
    <w:rsid w:val="00C41A09"/>
    <w:rsid w:val="00C560C8"/>
    <w:rsid w:val="00C661FA"/>
    <w:rsid w:val="00CC1413"/>
    <w:rsid w:val="00CC4CF1"/>
    <w:rsid w:val="00CE2811"/>
    <w:rsid w:val="00CF3C11"/>
    <w:rsid w:val="00D01345"/>
    <w:rsid w:val="00D06D16"/>
    <w:rsid w:val="00D113F7"/>
    <w:rsid w:val="00D1470D"/>
    <w:rsid w:val="00D21713"/>
    <w:rsid w:val="00D347BC"/>
    <w:rsid w:val="00D619E6"/>
    <w:rsid w:val="00DA3A11"/>
    <w:rsid w:val="00DB1D57"/>
    <w:rsid w:val="00DE494B"/>
    <w:rsid w:val="00E27FE9"/>
    <w:rsid w:val="00E317FE"/>
    <w:rsid w:val="00E56C57"/>
    <w:rsid w:val="00E65343"/>
    <w:rsid w:val="00E84BCA"/>
    <w:rsid w:val="00F15F98"/>
    <w:rsid w:val="00F1735F"/>
    <w:rsid w:val="00F22D4E"/>
    <w:rsid w:val="00F26201"/>
    <w:rsid w:val="00F32F38"/>
    <w:rsid w:val="00F64F65"/>
    <w:rsid w:val="00F80CDF"/>
    <w:rsid w:val="00FA219E"/>
    <w:rsid w:val="00FD0050"/>
    <w:rsid w:val="00FE57D9"/>
    <w:rsid w:val="011E6BCE"/>
    <w:rsid w:val="07042A18"/>
    <w:rsid w:val="0829561E"/>
    <w:rsid w:val="09B30868"/>
    <w:rsid w:val="0A0440FB"/>
    <w:rsid w:val="0A530DBE"/>
    <w:rsid w:val="0B19350A"/>
    <w:rsid w:val="0B5858B7"/>
    <w:rsid w:val="0BF55F4B"/>
    <w:rsid w:val="0C10506A"/>
    <w:rsid w:val="0CA853A3"/>
    <w:rsid w:val="0CD65F4A"/>
    <w:rsid w:val="0DC852D2"/>
    <w:rsid w:val="0DD81C71"/>
    <w:rsid w:val="0E5E3FC7"/>
    <w:rsid w:val="126A4CE0"/>
    <w:rsid w:val="133C512C"/>
    <w:rsid w:val="149B61B2"/>
    <w:rsid w:val="186F0103"/>
    <w:rsid w:val="1B942B08"/>
    <w:rsid w:val="1BBF70A3"/>
    <w:rsid w:val="1DA53604"/>
    <w:rsid w:val="1EAE3BA3"/>
    <w:rsid w:val="202034FF"/>
    <w:rsid w:val="216B25CD"/>
    <w:rsid w:val="233D6A32"/>
    <w:rsid w:val="270A3400"/>
    <w:rsid w:val="274D6D8A"/>
    <w:rsid w:val="2893347B"/>
    <w:rsid w:val="29FA5BB9"/>
    <w:rsid w:val="2A065ECF"/>
    <w:rsid w:val="2A2F4959"/>
    <w:rsid w:val="2A7810AB"/>
    <w:rsid w:val="2B5F2EAD"/>
    <w:rsid w:val="2CD052DB"/>
    <w:rsid w:val="303B17D1"/>
    <w:rsid w:val="35EA7AB6"/>
    <w:rsid w:val="366E54F6"/>
    <w:rsid w:val="36F975C6"/>
    <w:rsid w:val="3B812D23"/>
    <w:rsid w:val="3C3E68C6"/>
    <w:rsid w:val="3C472431"/>
    <w:rsid w:val="3DE877DD"/>
    <w:rsid w:val="3E2C58D5"/>
    <w:rsid w:val="3F9B38F4"/>
    <w:rsid w:val="3FAF60D4"/>
    <w:rsid w:val="40E62D05"/>
    <w:rsid w:val="41EC00D1"/>
    <w:rsid w:val="425428E6"/>
    <w:rsid w:val="4334724C"/>
    <w:rsid w:val="43911CCB"/>
    <w:rsid w:val="455813F1"/>
    <w:rsid w:val="470030F8"/>
    <w:rsid w:val="48D15AF2"/>
    <w:rsid w:val="4908400E"/>
    <w:rsid w:val="4B311954"/>
    <w:rsid w:val="4B49636A"/>
    <w:rsid w:val="4DCE60E7"/>
    <w:rsid w:val="4F1507D2"/>
    <w:rsid w:val="4FA50204"/>
    <w:rsid w:val="50F437E4"/>
    <w:rsid w:val="50FA660E"/>
    <w:rsid w:val="548D0259"/>
    <w:rsid w:val="560A7440"/>
    <w:rsid w:val="57D677BB"/>
    <w:rsid w:val="58DD3E94"/>
    <w:rsid w:val="59E11E19"/>
    <w:rsid w:val="5AC97D25"/>
    <w:rsid w:val="5C234835"/>
    <w:rsid w:val="5DB4425C"/>
    <w:rsid w:val="5FAD49E9"/>
    <w:rsid w:val="5FE04CA9"/>
    <w:rsid w:val="613145B6"/>
    <w:rsid w:val="62DE7897"/>
    <w:rsid w:val="63482F37"/>
    <w:rsid w:val="636D6BC2"/>
    <w:rsid w:val="654F2D76"/>
    <w:rsid w:val="65994661"/>
    <w:rsid w:val="67D50505"/>
    <w:rsid w:val="68166F76"/>
    <w:rsid w:val="685E0AC4"/>
    <w:rsid w:val="68C61FDC"/>
    <w:rsid w:val="69CE7BBA"/>
    <w:rsid w:val="6A194AF9"/>
    <w:rsid w:val="6C1B66CC"/>
    <w:rsid w:val="6C347BED"/>
    <w:rsid w:val="6CA74C3D"/>
    <w:rsid w:val="6CBE5258"/>
    <w:rsid w:val="6D3F1B94"/>
    <w:rsid w:val="6F083D3C"/>
    <w:rsid w:val="6F0C2CE1"/>
    <w:rsid w:val="6F8F6A6D"/>
    <w:rsid w:val="7541161B"/>
    <w:rsid w:val="754B5A9C"/>
    <w:rsid w:val="775B54BF"/>
    <w:rsid w:val="777D2485"/>
    <w:rsid w:val="77D87D3F"/>
    <w:rsid w:val="7804025D"/>
    <w:rsid w:val="78484B17"/>
    <w:rsid w:val="7A1862E2"/>
    <w:rsid w:val="7ABE3F0A"/>
    <w:rsid w:val="7BCB35FF"/>
    <w:rsid w:val="7E6C1D6D"/>
    <w:rsid w:val="7F321E6A"/>
    <w:rsid w:val="7F9513B1"/>
    <w:rsid w:val="7FE74260"/>
    <w:rsid w:val="7FE9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13</Pages>
  <Words>762</Words>
  <Characters>4344</Characters>
  <Lines>36</Lines>
  <Paragraphs>10</Paragraphs>
  <TotalTime>14</TotalTime>
  <ScaleCrop>false</ScaleCrop>
  <LinksUpToDate>false</LinksUpToDate>
  <CharactersWithSpaces>5096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2020-01-20T07:21:00Z</dcterms:created>
  <dc:creator>文丘(处长)</dc:creator>
  <cp:lastModifiedBy>windows</cp:lastModifiedBy>
  <cp:lastPrinted>2020-06-09T03:26:00Z</cp:lastPrinted>
  <dcterms:modified xsi:type="dcterms:W3CDTF">2020-06-12T02:19:38Z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