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6C" w:rsidRDefault="0021656C" w:rsidP="0021656C"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E03805" w:rsidRDefault="0021656C" w:rsidP="00E03805">
      <w:pPr>
        <w:widowControl/>
        <w:spacing w:line="52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997C5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海南软件职业技术学院20</w:t>
      </w:r>
      <w:r w:rsidR="00167C0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20</w:t>
      </w:r>
      <w:r w:rsidRPr="00997C5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年</w:t>
      </w:r>
      <w:r w:rsidR="00ED64DA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第一阶段</w:t>
      </w:r>
      <w:r w:rsidRPr="00997C5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公开招聘</w:t>
      </w:r>
      <w:r w:rsidR="00E03805" w:rsidRPr="00E03805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（考核招聘）</w:t>
      </w:r>
    </w:p>
    <w:p w:rsidR="006037C2" w:rsidRPr="006037C2" w:rsidRDefault="0021656C" w:rsidP="00D3392E">
      <w:pPr>
        <w:widowControl/>
        <w:spacing w:afterLines="100" w:after="312" w:line="52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997C5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取消招聘岗位</w:t>
      </w:r>
      <w:r w:rsidR="00997C59" w:rsidRPr="00997C5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一览</w:t>
      </w:r>
      <w:r w:rsidRPr="00997C5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表</w:t>
      </w:r>
      <w:bookmarkStart w:id="0" w:name="_GoBack"/>
      <w:bookmarkEnd w:id="0"/>
    </w:p>
    <w:tbl>
      <w:tblPr>
        <w:tblW w:w="14425" w:type="dxa"/>
        <w:tblLayout w:type="fixed"/>
        <w:tblLook w:val="0000" w:firstRow="0" w:lastRow="0" w:firstColumn="0" w:lastColumn="0" w:noHBand="0" w:noVBand="0"/>
      </w:tblPr>
      <w:tblGrid>
        <w:gridCol w:w="675"/>
        <w:gridCol w:w="1819"/>
        <w:gridCol w:w="1502"/>
        <w:gridCol w:w="648"/>
        <w:gridCol w:w="709"/>
        <w:gridCol w:w="709"/>
        <w:gridCol w:w="3969"/>
        <w:gridCol w:w="1134"/>
        <w:gridCol w:w="2126"/>
        <w:gridCol w:w="1134"/>
      </w:tblGrid>
      <w:tr w:rsidR="006037C2" w:rsidRPr="008172EB" w:rsidTr="0090546F">
        <w:trPr>
          <w:trHeight w:val="45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6037C2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szCs w:val="21"/>
              </w:rPr>
              <w:t>招聘岗位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szCs w:val="21"/>
              </w:rPr>
              <w:t>招聘人数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6037C2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szCs w:val="21"/>
              </w:rPr>
              <w:t>资格条件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取消招聘岗位情况</w:t>
            </w:r>
          </w:p>
        </w:tc>
      </w:tr>
      <w:tr w:rsidR="006037C2" w:rsidRPr="008172EB" w:rsidTr="0090546F">
        <w:trPr>
          <w:trHeight w:val="375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6037C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szCs w:val="21"/>
              </w:rPr>
              <w:t>年龄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szCs w:val="21"/>
              </w:rPr>
              <w:t>专业（方向）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szCs w:val="21"/>
              </w:rPr>
              <w:t>学历</w:t>
            </w:r>
          </w:p>
          <w:p w:rsidR="006037C2" w:rsidRPr="00223099" w:rsidRDefault="006037C2" w:rsidP="00391807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szCs w:val="21"/>
              </w:rPr>
              <w:t>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szCs w:val="21"/>
              </w:rPr>
              <w:t>其他条件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037C2" w:rsidRPr="008172EB" w:rsidTr="0090546F">
        <w:trPr>
          <w:trHeight w:val="13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6037C2">
            <w:pPr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软件工程学院</w:t>
            </w:r>
          </w:p>
          <w:p w:rsidR="006037C2" w:rsidRPr="00223099" w:rsidRDefault="006037C2" w:rsidP="00391807">
            <w:pPr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（人工智能学院）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7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科研/教学人员1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7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50周岁及以下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7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6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计算机学科与技术</w:t>
            </w: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（人工智能方向）、软件工程（人工智能方向）、电子信息（人工智能方向）、信息与通信工程（人工智能方向）、控制科学与工程（人工智能方向）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博士研究生/博士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7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教授(同时满足海南领军人才标准)，需具备海外留学经历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223425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取消</w:t>
            </w:r>
          </w:p>
        </w:tc>
      </w:tr>
      <w:tr w:rsidR="006037C2" w:rsidRPr="008172EB" w:rsidTr="0090546F">
        <w:trPr>
          <w:trHeight w:val="1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6037C2">
            <w:pPr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软件工程学院</w:t>
            </w:r>
          </w:p>
          <w:p w:rsidR="006037C2" w:rsidRPr="00223099" w:rsidRDefault="006037C2" w:rsidP="00391807">
            <w:pPr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（人工智能学院）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7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科研/教学人员2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7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50周岁及以下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7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6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数据科学、软件工程</w:t>
            </w: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（大数据分析与挖掘方向）、计算机科学与技术（大数据可视化、数据挖掘方向）、网络空间安全（分布式数据技术、云数据管理技术方向）、计算机应用技术（数据挖掘方向）、人工智能（大数据分析、数据挖掘、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博士研究生/博士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7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教授(同时满足海南领军人才标准)，需具备海外留学经历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223425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取消</w:t>
            </w:r>
          </w:p>
        </w:tc>
      </w:tr>
      <w:tr w:rsidR="006037C2" w:rsidRPr="008172EB" w:rsidTr="0090546F">
        <w:trPr>
          <w:trHeight w:val="216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6037C2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软件工程学院</w:t>
            </w:r>
          </w:p>
          <w:p w:rsidR="006037C2" w:rsidRPr="00223099" w:rsidRDefault="006037C2" w:rsidP="00391807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（人工智能学院）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科研/教学人员3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50周岁及以下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2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网络空间安全（区块链技术方向）、计算机科学与技术（区块链技术方向）、通信计算融合与场景应用（区块链技术方向）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博士研究生/博士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教授，需具备海外留学经历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223425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取消</w:t>
            </w:r>
          </w:p>
        </w:tc>
      </w:tr>
      <w:tr w:rsidR="006037C2" w:rsidRPr="008172EB" w:rsidTr="0090546F">
        <w:trPr>
          <w:trHeight w:val="14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6037C2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动画学院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科研/教学人员4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50周岁及以下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计算机科学与技术（虚拟现实技术方向）、网络空间安全（虚拟现实技术方向）、控制科学与工程（虚拟现实技术方向）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博士研究生/博士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教授，需具备海外留学经历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223425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取消</w:t>
            </w:r>
          </w:p>
        </w:tc>
      </w:tr>
      <w:tr w:rsidR="006037C2" w:rsidRPr="008172EB" w:rsidTr="0090546F">
        <w:trPr>
          <w:trHeight w:val="140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6037C2">
            <w:pPr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经济</w:t>
            </w: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</w:t>
            </w:r>
            <w:r w:rsidRPr="008172EB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理学院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科研/教学人员5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50周岁及以下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2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国际贸易（跨境电商与数字贸易方向）、经济信息管理（电子商务与互联网经济方向）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博士研究生/博士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教授，需具备海外留学经历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223425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取消</w:t>
            </w:r>
          </w:p>
        </w:tc>
      </w:tr>
      <w:tr w:rsidR="006037C2" w:rsidRPr="008172EB" w:rsidTr="0090546F">
        <w:trPr>
          <w:trHeight w:val="17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6037C2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软件工程学院</w:t>
            </w:r>
          </w:p>
          <w:p w:rsidR="006037C2" w:rsidRPr="008172EB" w:rsidRDefault="006037C2" w:rsidP="0039180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（人工智能学院）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人工智能专业带头人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35周岁及以下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8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计算机科学与技术、软件工程、计算机软件与理论、模式识别与智能系统、计算机系统结构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博士研究生/博士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8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223425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取消</w:t>
            </w:r>
          </w:p>
        </w:tc>
      </w:tr>
      <w:tr w:rsidR="006037C2" w:rsidRPr="008172EB" w:rsidTr="0090546F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9B6F4C" w:rsidP="006037C2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公共教学部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中文教师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35周岁及以下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汉语言文学、汉语言文学教育、文艺学、中国古代文学、中国现当代文学、比较文学与世界文学、广播电视学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硕士研究生/硕士及以上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获得省级以上（含省级）朗诵（诵读）、演讲等语言类竞赛奖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223425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取消</w:t>
            </w:r>
          </w:p>
        </w:tc>
      </w:tr>
      <w:tr w:rsidR="006037C2" w:rsidRPr="008172EB" w:rsidTr="0090546F">
        <w:trPr>
          <w:trHeight w:val="2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9B6F4C" w:rsidP="006037C2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机电工程学院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工业机器人</w:t>
            </w:r>
          </w:p>
          <w:p w:rsidR="006037C2" w:rsidRPr="008172EB" w:rsidRDefault="006037C2" w:rsidP="0039180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360" w:lineRule="atLeas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360" w:lineRule="atLeas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35周岁及以下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机械工程、电气工程、控制理论与控制工程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硕士研究生/硕士及以上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0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具有在海内外工业机器人控制机构从事工业机器人的控制、工业机器人编程、工业机器人离线编程及ABB </w:t>
            </w:r>
            <w:proofErr w:type="spellStart"/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RobotStudio</w:t>
            </w:r>
            <w:proofErr w:type="spellEnd"/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研究、战略研究2年及以上的工作经历；在海内外工业机器人高端</w:t>
            </w:r>
            <w:proofErr w:type="gramStart"/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智库组织</w:t>
            </w:r>
            <w:proofErr w:type="gramEnd"/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并形成业界有影响力的决策咨询成果；研究成果具有较高的学术水平和实践价值，得到业内认可。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223425" w:rsidP="00391807">
            <w:pPr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取消</w:t>
            </w:r>
          </w:p>
        </w:tc>
      </w:tr>
      <w:tr w:rsidR="006037C2" w:rsidRPr="008172EB" w:rsidTr="0090546F">
        <w:trPr>
          <w:trHeight w:val="10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9B6F4C" w:rsidP="006037C2">
            <w:pPr>
              <w:spacing w:line="320" w:lineRule="atLeas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20" w:lineRule="atLeast"/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经济管</w:t>
            </w: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理</w:t>
            </w:r>
            <w:r w:rsidRPr="008172EB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20" w:lineRule="atLeast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电子商务教师2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60" w:lineRule="exact"/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仿宋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20" w:lineRule="atLeast"/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仿宋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00" w:lineRule="exact"/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35周岁及以下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电子商务专业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0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本科/学士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40" w:lineRule="exac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有3年以上电子商务行业工作经历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223425" w:rsidP="00391807">
            <w:pPr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取消</w:t>
            </w:r>
          </w:p>
        </w:tc>
      </w:tr>
      <w:tr w:rsidR="006037C2" w:rsidRPr="008172EB" w:rsidTr="0090546F"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9B6F4C" w:rsidP="006037C2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网络工程学院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网络系统运</w:t>
            </w:r>
            <w:proofErr w:type="gramStart"/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维专业</w:t>
            </w:r>
            <w:proofErr w:type="gramEnd"/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35周岁及以下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计算机科学与技术、软件工程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硕士研究生/硕士及以上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223425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取消</w:t>
            </w:r>
          </w:p>
        </w:tc>
      </w:tr>
      <w:tr w:rsidR="006037C2" w:rsidRPr="008172EB" w:rsidTr="0090546F">
        <w:trPr>
          <w:trHeight w:val="2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9B6F4C" w:rsidP="006037C2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网络工程学院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网络专业教师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35周岁及以下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计算机科学与技术、软件工程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硕士研究生/硕士及以上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223425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取消</w:t>
            </w:r>
          </w:p>
        </w:tc>
      </w:tr>
      <w:tr w:rsidR="006037C2" w:rsidRPr="008172EB" w:rsidTr="0090546F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9B6F4C" w:rsidP="006037C2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网络工程学院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信息安全专业教师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35周岁及以下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信息安全、信息与计算科学、网络工程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本科/学士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1.具有3年以上企业工作经历且从事网络安全相关工作</w:t>
            </w:r>
          </w:p>
          <w:p w:rsidR="006037C2" w:rsidRPr="00223099" w:rsidRDefault="006037C2" w:rsidP="00391807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2.具</w:t>
            </w:r>
            <w:r w:rsidRPr="00223099"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有CISP</w:t>
            </w: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、</w:t>
            </w:r>
            <w:r w:rsidRPr="00223099"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RCTE</w:t>
            </w: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、</w:t>
            </w:r>
            <w:r w:rsidRPr="00223099"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CCIE</w:t>
            </w: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、</w:t>
            </w:r>
            <w:r w:rsidRPr="00223099"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HCIE</w:t>
            </w: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证书之一。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223425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取消</w:t>
            </w:r>
          </w:p>
        </w:tc>
      </w:tr>
      <w:tr w:rsidR="006037C2" w:rsidRPr="008172EB" w:rsidTr="0090546F">
        <w:trPr>
          <w:trHeight w:val="17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9B6F4C" w:rsidP="006037C2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动画学院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数字媒体技术教师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35周岁及以下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数字媒体设计、数字媒体技术、虚拟现实技术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本科/学士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有3年以上游戏设计或虚拟现实技术类企业相应岗位工作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223425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取消</w:t>
            </w:r>
          </w:p>
        </w:tc>
      </w:tr>
    </w:tbl>
    <w:p w:rsidR="006037C2" w:rsidRDefault="006037C2" w:rsidP="0021656C">
      <w:pPr>
        <w:spacing w:line="500" w:lineRule="exact"/>
        <w:rPr>
          <w:rFonts w:ascii="黑体" w:eastAsia="黑体"/>
          <w:sz w:val="32"/>
          <w:szCs w:val="32"/>
        </w:rPr>
        <w:sectPr w:rsidR="006037C2" w:rsidSect="0021656C">
          <w:pgSz w:w="16838" w:h="11906" w:orient="landscape"/>
          <w:pgMar w:top="1021" w:right="1247" w:bottom="1021" w:left="1247" w:header="851" w:footer="992" w:gutter="0"/>
          <w:pgNumType w:fmt="numberInDash"/>
          <w:cols w:space="720"/>
          <w:docGrid w:type="lines" w:linePitch="312"/>
        </w:sectPr>
      </w:pPr>
    </w:p>
    <w:p w:rsidR="00EB47A9" w:rsidRDefault="00EB47A9"/>
    <w:sectPr w:rsidR="00EB4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46" w:rsidRDefault="00C35B46" w:rsidP="00E03805">
      <w:r>
        <w:separator/>
      </w:r>
    </w:p>
  </w:endnote>
  <w:endnote w:type="continuationSeparator" w:id="0">
    <w:p w:rsidR="00C35B46" w:rsidRDefault="00C35B46" w:rsidP="00E0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46" w:rsidRDefault="00C35B46" w:rsidP="00E03805">
      <w:r>
        <w:separator/>
      </w:r>
    </w:p>
  </w:footnote>
  <w:footnote w:type="continuationSeparator" w:id="0">
    <w:p w:rsidR="00C35B46" w:rsidRDefault="00C35B46" w:rsidP="00E03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6C"/>
    <w:rsid w:val="00167C09"/>
    <w:rsid w:val="001A34BA"/>
    <w:rsid w:val="0021656C"/>
    <w:rsid w:val="00223425"/>
    <w:rsid w:val="004F6F3E"/>
    <w:rsid w:val="00557E38"/>
    <w:rsid w:val="006037C2"/>
    <w:rsid w:val="00854CC4"/>
    <w:rsid w:val="0090546F"/>
    <w:rsid w:val="00997C59"/>
    <w:rsid w:val="009B6F4C"/>
    <w:rsid w:val="009B73A6"/>
    <w:rsid w:val="00A827AE"/>
    <w:rsid w:val="00C35B46"/>
    <w:rsid w:val="00D3392E"/>
    <w:rsid w:val="00E03805"/>
    <w:rsid w:val="00E51240"/>
    <w:rsid w:val="00EB47A9"/>
    <w:rsid w:val="00ED64DA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8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80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39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392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8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80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39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39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237</Words>
  <Characters>1351</Characters>
  <Application>Microsoft Office Word</Application>
  <DocSecurity>0</DocSecurity>
  <Lines>11</Lines>
  <Paragraphs>3</Paragraphs>
  <ScaleCrop>false</ScaleCrop>
  <Company>微软用户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18</cp:revision>
  <cp:lastPrinted>2020-06-12T07:43:00Z</cp:lastPrinted>
  <dcterms:created xsi:type="dcterms:W3CDTF">2019-09-17T03:27:00Z</dcterms:created>
  <dcterms:modified xsi:type="dcterms:W3CDTF">2020-06-12T07:50:00Z</dcterms:modified>
</cp:coreProperties>
</file>