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540"/>
        <w:rPr>
          <w:rFonts w:eastAsia="方正黑体_GBK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spacing w:val="8"/>
          <w:sz w:val="32"/>
          <w:szCs w:val="32"/>
        </w:rPr>
        <w:t>附件1</w:t>
      </w:r>
    </w:p>
    <w:p>
      <w:pPr>
        <w:ind w:left="-540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成都海关2020考试录用公务员面试人员名单</w:t>
      </w:r>
    </w:p>
    <w:p>
      <w:pPr>
        <w:ind w:left="-540"/>
        <w:jc w:val="center"/>
        <w:rPr>
          <w:rFonts w:eastAsia="仿宋_GB2312"/>
          <w:sz w:val="32"/>
          <w:szCs w:val="32"/>
          <w:shd w:val="clear" w:color="auto" w:fill="FFFFFF"/>
        </w:rPr>
      </w:pPr>
    </w:p>
    <w:tbl>
      <w:tblPr>
        <w:tblStyle w:val="10"/>
        <w:tblW w:w="9043" w:type="dxa"/>
        <w:tblInd w:w="-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840"/>
        <w:gridCol w:w="1514"/>
        <w:gridCol w:w="2280"/>
        <w:gridCol w:w="115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ascii="方正黑体_GBK" w:eastAsia="方正黑体_GBK"/>
                <w:b/>
                <w:sz w:val="28"/>
              </w:rPr>
              <w:t>职位名称及代码</w:t>
            </w:r>
          </w:p>
        </w:tc>
        <w:tc>
          <w:tcPr>
            <w:tcW w:w="8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bottom"/>
          </w:tcPr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ascii="方正黑体_GBK" w:eastAsia="方正黑体_GBK"/>
                <w:b/>
                <w:sz w:val="28"/>
              </w:rPr>
              <w:t>进入面试</w:t>
            </w:r>
          </w:p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ascii="方正黑体_GBK" w:eastAsia="方正黑体_GBK"/>
                <w:b/>
                <w:sz w:val="28"/>
              </w:rPr>
              <w:t>最低分数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ascii="方正黑体_GBK" w:eastAsia="方正黑体_GBK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ascii="方正黑体_GBK" w:eastAsia="方正黑体_GBK"/>
                <w:b/>
                <w:sz w:val="28"/>
              </w:rPr>
              <w:t>名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ascii="方正黑体_GBK" w:eastAsia="方正黑体_GBK"/>
                <w:b/>
                <w:sz w:val="28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ascii="方正黑体_GBK" w:eastAsia="方正黑体_GBK"/>
                <w:b/>
                <w:sz w:val="28"/>
              </w:rPr>
              <w:t>面试时间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sz w:val="28"/>
              </w:rPr>
            </w:pPr>
            <w:r>
              <w:rPr>
                <w:rFonts w:ascii="方正黑体_GBK" w:eastAsia="方正黑体_GBK"/>
                <w:b/>
                <w:sz w:val="28"/>
              </w:rPr>
              <w:t>备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方正黑体_GBK" w:eastAsia="方正黑体_GBK"/>
                <w:b/>
                <w:sz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海关口岸卫生检疫一级行政执法员（300110001001）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135.6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赵小兵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129221020401028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刘健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129234012003911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王亭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129251000201611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简爱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129251000800501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邹嘉琪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129251001000824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何茂君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129251001501506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毕凌颖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129251001605606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贾润芃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129251001801530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张倩菲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129251001801616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海关行政综合一级行政执法员（300110001002）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141.3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王圣集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129251000204517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姚欣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129251000902704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陈赟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129251000905623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海关行政综合一级行政执法员（300110001004）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140.5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王紫嫣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129212013201921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张维芳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129241140302511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滕柳芳子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129243015207702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海关信息技术四级主办（300110001005）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134.0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黎龙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129245010606030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蒲佳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129250010902207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张茜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129253018005308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海关快件监管一级行政执法员（300110002001）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140.5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孔庆鹏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129232011101611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段洪苏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129250011306307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蒋亚霖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129251000803628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海关行政综合一级行政执法员（300110003001）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139.1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张露月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129250011903805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李鑫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129251001503028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刘燕华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129252281310416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海关植物检疫一级行政执法员（300110003002）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130.9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王昕媛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129222011100730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廖舒悦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129250011903113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崔海英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129253010515126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海关动物检疫四级主办（300110003003）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138.2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牟丹霞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129211150701012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宋婷婷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129212013100918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梁丹阳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129241030500903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海关行政综合四级主办（300110004001）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132.4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王贝笛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129221150701505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史潇潇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129232011101211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张嘉贝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129251000907926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张虹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129251001202812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海关行政综合四级主办（300110004002）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141.6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文永春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129250011001528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6月20日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张嘉诚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129250011602220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罗天婵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129251000200404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海关行政综合一级行政执法员（300110004003）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141.1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梁敏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129250010900612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周俊洁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129251001001919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胡艳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129251001107201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海关植物检疫一级行政执法员（300110004004）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141.9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陈莹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129251000800417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李惠玲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129251001504722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剡佳梅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129262010112327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海关行政综合一级行政执法员（300110005001）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136.6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吕昕宇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129251000700915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马骏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129251000909815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陈华茜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129251001505827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海关食品检验四级主办（300110005002）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142.4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李思敏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129233330106513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王雅露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129250011402012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李肖汶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129261010402926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海关行政综合一级行政执法员（300110010001）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131.9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曾亚丽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129251001005013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钱静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129251001400428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尹利珍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129251001806530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海关行政综合一级行政执法员（300110010002）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137.4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周泓桥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129231011800905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苏新月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129235101401021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赵鑫宇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129251001802608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海关行政综合一级行政执法员（300110011001）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135.3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陈潇漫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129251000903022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刘柔希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129251001203827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熊伟萍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129251001604218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海关行政综合一级行政执法员（300110012001）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134.8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唐甜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129251001005523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李昕茹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129251001205829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李庆玲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129251001300802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海关检验监管一级行政执法员（300110014001）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137.9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李悦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129251001109909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何欣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129251001506306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熊瑶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129251001702005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海关行政综合一级行政执法员（300110014002）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旷右斌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129251001006114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周露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129251001007213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岑实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129251001109306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海关检验监管四级主办（300110015001）</w:t>
            </w:r>
          </w:p>
        </w:tc>
        <w:tc>
          <w:tcPr>
            <w:tcW w:w="84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马丽萍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130251001805207</w:t>
            </w:r>
          </w:p>
        </w:tc>
        <w:tc>
          <w:tcPr>
            <w:tcW w:w="115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海关检验监管一级行政执法员（300110018003）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142.5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熊绍君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129211072001626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尹明天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129251000203926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何松陈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129251000903929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海关检验监管一级行政执法员（300110018004）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120.6</w:t>
            </w:r>
          </w:p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袁泉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129232011301605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6月21日</w:t>
            </w:r>
          </w:p>
        </w:tc>
        <w:tc>
          <w:tcPr>
            <w:tcW w:w="11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徐倩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129250011602426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吴昊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129251000200613</w:t>
            </w:r>
          </w:p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043" w:type="dxa"/>
            <w:gridSpan w:val="6"/>
            <w:tcBorders>
              <w:top w:val="single" w:color="000000" w:sz="12" w:space="0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sz w:val="28"/>
              </w:rPr>
              <w:t>备注：同一职位考生按准考证号排列</w:t>
            </w:r>
          </w:p>
        </w:tc>
      </w:tr>
    </w:tbl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hint="eastAsia" w:eastAsia="方正黑体_GBK"/>
          <w:bCs/>
          <w:spacing w:val="8"/>
          <w:sz w:val="32"/>
          <w:szCs w:val="32"/>
        </w:rPr>
        <w:t>附件</w:t>
      </w:r>
      <w:r>
        <w:rPr>
          <w:rFonts w:eastAsia="方正黑体_GBK"/>
          <w:bCs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hint="eastAsia" w:eastAsia="方正小标宋_GBK"/>
          <w:spacing w:val="8"/>
          <w:sz w:val="44"/>
          <w:szCs w:val="44"/>
        </w:rPr>
        <w:t>XXX确认参加成都海关XX职位面试</w:t>
      </w:r>
    </w:p>
    <w:p>
      <w:pPr>
        <w:spacing w:line="594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成都海关：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hint="eastAsia" w:eastAsia="方正黑体_GBK"/>
          <w:bCs/>
          <w:spacing w:val="8"/>
          <w:sz w:val="32"/>
          <w:szCs w:val="32"/>
        </w:rPr>
        <w:t>附件</w:t>
      </w:r>
      <w:r>
        <w:rPr>
          <w:rFonts w:eastAsia="方正黑体_GBK"/>
          <w:bCs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hint="eastAsia" w:eastAsia="方正小标宋_GBK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成都海关：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hint="eastAsia" w:eastAsia="方正黑体_GBK"/>
          <w:bCs/>
          <w:spacing w:val="8"/>
          <w:sz w:val="32"/>
          <w:szCs w:val="32"/>
        </w:rPr>
        <w:t>附件</w:t>
      </w:r>
      <w:r>
        <w:rPr>
          <w:rFonts w:eastAsia="方正黑体_GBK"/>
          <w:bCs/>
          <w:spacing w:val="8"/>
          <w:sz w:val="32"/>
          <w:szCs w:val="32"/>
        </w:rPr>
        <w:t>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hint="eastAsia" w:eastAsia="方正黑体_GBK"/>
          <w:bCs/>
          <w:spacing w:val="8"/>
          <w:sz w:val="32"/>
          <w:szCs w:val="32"/>
        </w:rPr>
        <w:t>附件</w:t>
      </w:r>
      <w:r>
        <w:rPr>
          <w:rFonts w:eastAsia="方正黑体_GBK"/>
          <w:bCs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C927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qFormat/>
    <w:uiPriority w:val="0"/>
    <w:pPr>
      <w:jc w:val="left"/>
    </w:pPr>
    <w:rPr>
      <w:szCs w:val="21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uiPriority w:val="0"/>
    <w:rPr>
      <w:b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14</Pages>
  <Words>4221</Words>
  <Characters>5935</Characters>
  <Lines>802</Lines>
  <Paragraphs>405</Paragraphs>
  <TotalTime>602</TotalTime>
  <ScaleCrop>false</ScaleCrop>
  <LinksUpToDate>false</LinksUpToDate>
  <CharactersWithSpaces>6686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Administrator</cp:lastModifiedBy>
  <cp:lastPrinted>2020-05-27T05:27:00Z</cp:lastPrinted>
  <dcterms:modified xsi:type="dcterms:W3CDTF">2020-06-06T12:14:13Z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