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4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290"/>
        <w:gridCol w:w="1326"/>
        <w:gridCol w:w="1498"/>
        <w:gridCol w:w="7553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附件</w:t>
            </w:r>
            <w:r>
              <w:rPr>
                <w:rFonts w:ascii="仿宋_GB2312" w:hAnsi="仿宋" w:eastAsia="仿宋_GB2312" w:cs="仿宋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shd w:val="clear" w:color="auto" w:fill="FFFFFF"/>
              </w:rPr>
              <w:t>嫩江市发展和改革局引进专业技术人才岗位计划表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引进数量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一级目录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二级目录</w:t>
            </w:r>
          </w:p>
        </w:tc>
        <w:tc>
          <w:tcPr>
            <w:tcW w:w="75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嫩江市发展和改革局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经济学及经济贸易与管理</w:t>
            </w:r>
          </w:p>
        </w:tc>
        <w:tc>
          <w:tcPr>
            <w:tcW w:w="75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国民经济学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区域经济学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产业经济学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宏观经济管理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国民经济管理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经济学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发展经济学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区域经济与开发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经济管理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经济与管理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国际经济与贸易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经济统计学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商务经济学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金融</w:t>
            </w:r>
          </w:p>
        </w:tc>
        <w:tc>
          <w:tcPr>
            <w:tcW w:w="75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金融学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投资学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投资经济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投资管理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投资经济管理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6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理工学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能源动力</w:t>
            </w:r>
          </w:p>
        </w:tc>
        <w:tc>
          <w:tcPr>
            <w:tcW w:w="75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工程热物理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热能工程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动力工程及工程热物理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热能动力工程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热能与动力工程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能源管理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能源与动力工程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能源与环保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能源工程及自动化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节能工程技术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新能源应用技术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能源与环境系统工程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新能源科学与工程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6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理工学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电子信息</w:t>
            </w:r>
          </w:p>
        </w:tc>
        <w:tc>
          <w:tcPr>
            <w:tcW w:w="75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信息工程学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信息工程与网络技术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信息工程与自动化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信息工程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电子信息与计算机应用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电子与信息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电子与信息枝术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电子信息工程技术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电子信息科学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电子科学与技术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电子信息科学与技术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6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75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计算机科学与技术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计算机硬件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计算机软件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计算机软件工程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计算机软件技术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经济管理与计算机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计算机信息科学与技术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苏啦A梦</cp:lastModifiedBy>
  <dcterms:modified xsi:type="dcterms:W3CDTF">2020-06-04T09:42:44Z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