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晋城市投资促进中心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2020年引进高层次人才考核人员名单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2"/>
        <w:tblW w:w="8419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2932"/>
        <w:gridCol w:w="3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姓  名</w:t>
            </w:r>
          </w:p>
        </w:tc>
        <w:tc>
          <w:tcPr>
            <w:tcW w:w="2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性  别</w:t>
            </w:r>
          </w:p>
        </w:tc>
        <w:tc>
          <w:tcPr>
            <w:tcW w:w="3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刘北北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1987.03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裴亚鹏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段倩倩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1990.01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贾泽敏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张哲伦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王旭影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1989.12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王一诺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钊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1987.11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浩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1993.12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明泽华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1991.01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晁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洋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1995.01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高玄子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1989.11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牛浩杰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1993.08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王菲菲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1989.05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80181"/>
    <w:rsid w:val="38B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2020-05-28T10:16:00Z</dcterms:created>
  <dc:creator>宅无双</dc:creator>
  <cp:lastModifiedBy>宅无双</cp:lastModifiedBy>
  <dcterms:modified xsi:type="dcterms:W3CDTF">2020-05-28T10:17:31Z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