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黑体"/>
          <w:sz w:val="32"/>
          <w:szCs w:val="32"/>
        </w:rPr>
      </w:pPr>
      <w:r>
        <w:rPr>
          <w:rFonts w:hint="eastAsia" w:ascii="黑体" w:hAnsi="黑体" w:eastAsia="黑体" w:cs="黑体"/>
          <w:sz w:val="32"/>
          <w:szCs w:val="32"/>
        </w:rPr>
        <w:t>附件2</w:t>
      </w:r>
    </w:p>
    <w:p>
      <w:pPr>
        <w:spacing w:after="199" w:afterLines="60" w:line="640" w:lineRule="exact"/>
        <w:jc w:val="center"/>
        <w:rPr>
          <w:rFonts w:ascii="方正小标宋_GBK" w:hAnsi="方正小标宋_GBK" w:eastAsia="方正小标宋_GBK"/>
          <w:kern w:val="0"/>
          <w:sz w:val="44"/>
        </w:rPr>
      </w:pPr>
      <w:r>
        <w:rPr>
          <w:rFonts w:hint="eastAsia" w:ascii="方正小标宋_GBK" w:hAnsi="方正小标宋_GBK" w:eastAsia="方正小标宋_GBK"/>
          <w:kern w:val="0"/>
          <w:sz w:val="44"/>
        </w:rPr>
        <w:t>海南省2020年学前教育农村特设岗位教师招聘计划表</w:t>
      </w:r>
    </w:p>
    <w:tbl>
      <w:tblPr>
        <w:tblStyle w:val="3"/>
        <w:tblW w:w="15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70"/>
        <w:gridCol w:w="3648"/>
        <w:gridCol w:w="2268"/>
        <w:gridCol w:w="1417"/>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1</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b/>
                <w:bCs/>
                <w:kern w:val="0"/>
                <w:sz w:val="24"/>
              </w:rPr>
              <w:t>三亚市</w:t>
            </w: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三亚市育才中心幼儿园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4</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三亚市育才雅林幼儿园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三亚市天涯区过岭幼儿园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三亚市天涯区扎南幼儿园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三亚市吉阳区第二幼儿园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三亚市吉阳区第五幼儿园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三亚市吉阳区福海苑幼儿园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吉阳区御府幼儿园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吉阳区月川幼儿园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吉阳区东岸幼儿园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360" w:lineRule="exact"/>
              <w:jc w:val="center"/>
              <w:textAlignment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color w:val="000000"/>
                <w:kern w:val="0"/>
                <w:sz w:val="24"/>
              </w:rPr>
              <w:t>吉阳区高知幼儿园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b/>
                <w:bCs/>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rPr>
              <w:t>三亚市</w:t>
            </w:r>
            <w:r>
              <w:rPr>
                <w:rFonts w:hint="eastAsia" w:ascii="宋体" w:hAnsi="宋体" w:cs="宋体"/>
                <w:kern w:val="0"/>
                <w:sz w:val="24"/>
                <w:shd w:val="clear" w:color="040000" w:fill="auto"/>
              </w:rPr>
              <w:t>吉阳区同心第一幼儿园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三亚市第二十九幼儿园</w:t>
            </w:r>
          </w:p>
        </w:tc>
        <w:tc>
          <w:tcPr>
            <w:tcW w:w="2268" w:type="dxa"/>
            <w:vAlign w:val="center"/>
          </w:tcPr>
          <w:p>
            <w:pPr>
              <w:autoSpaceDN w:val="0"/>
              <w:spacing w:line="360" w:lineRule="exact"/>
              <w:jc w:val="center"/>
              <w:textAlignment w:val="center"/>
              <w:rPr>
                <w:rFonts w:ascii="宋体" w:hAnsi="宋体" w:cs="宋体"/>
                <w:b/>
                <w:bCs/>
                <w:kern w:val="0"/>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b/>
                <w:bCs/>
                <w:kern w:val="0"/>
                <w:sz w:val="24"/>
              </w:rPr>
            </w:pPr>
            <w:r>
              <w:rPr>
                <w:rFonts w:hint="eastAsia" w:ascii="宋体" w:hAnsi="宋体" w:cs="宋体"/>
                <w:kern w:val="0"/>
                <w:sz w:val="24"/>
                <w:shd w:val="clear" w:color="040000" w:fill="auto"/>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2</w:t>
            </w:r>
          </w:p>
        </w:tc>
        <w:tc>
          <w:tcPr>
            <w:tcW w:w="1370" w:type="dxa"/>
            <w:vAlign w:val="center"/>
          </w:tcPr>
          <w:p>
            <w:pPr>
              <w:spacing w:line="360" w:lineRule="exact"/>
              <w:jc w:val="center"/>
              <w:rPr>
                <w:rFonts w:ascii="宋体" w:hAnsi="宋体" w:cs="宋体"/>
                <w:b/>
                <w:bCs/>
                <w:kern w:val="0"/>
                <w:sz w:val="24"/>
              </w:rPr>
            </w:pPr>
            <w:r>
              <w:rPr>
                <w:rFonts w:hint="eastAsia" w:ascii="宋体" w:hAnsi="宋体" w:cs="宋体"/>
                <w:kern w:val="0"/>
                <w:sz w:val="24"/>
              </w:rPr>
              <w:t>儋州市</w:t>
            </w:r>
          </w:p>
        </w:tc>
        <w:tc>
          <w:tcPr>
            <w:tcW w:w="3648"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rPr>
              <w:t>木棠镇中心幼儿园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hd w:val="clear" w:color="010000" w:fill="auto"/>
              <w:spacing w:line="360" w:lineRule="exact"/>
              <w:jc w:val="center"/>
              <w:rPr>
                <w:rFonts w:ascii="宋体" w:hAnsi="宋体" w:cs="宋体"/>
                <w:kern w:val="0"/>
                <w:sz w:val="24"/>
                <w:shd w:val="clear" w:color="040000" w:fill="auto"/>
              </w:rPr>
            </w:pPr>
            <w:r>
              <w:rPr>
                <w:rFonts w:hint="eastAsia" w:ascii="宋体" w:hAnsi="宋体" w:cs="宋体"/>
                <w:kern w:val="0"/>
                <w:sz w:val="24"/>
                <w:shd w:val="clear" w:color="040000" w:fill="auto"/>
              </w:rPr>
              <w:t>5</w:t>
            </w:r>
          </w:p>
        </w:tc>
        <w:tc>
          <w:tcPr>
            <w:tcW w:w="5567" w:type="dxa"/>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3</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定安县</w:t>
            </w: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岭口镇中心幼儿园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4.年龄在30周岁以下（1989年6年5日以后出生）。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新竹镇中心幼儿园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黄竹镇中心幼儿园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龙河镇中心幼儿园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龙门镇中心幼儿园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4</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澄迈县</w:t>
            </w: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永发中心幼儿园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加乐中心幼儿园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文儒中心幼儿园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瑞溪中心幼儿园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石浮中心幼儿园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老城第二幼儿园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红岗中心幼儿园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kern w:val="0"/>
                <w:sz w:val="24"/>
                <w:shd w:val="clear" w:color="040000" w:fill="auto"/>
              </w:rPr>
            </w:pPr>
            <w:r>
              <w:rPr>
                <w:rFonts w:hint="eastAsia" w:ascii="宋体" w:hAnsi="宋体" w:cs="宋体"/>
                <w:sz w:val="24"/>
              </w:rPr>
              <w:t>中兴中心幼儿园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shd w:val="clear" w:color="040000" w:fill="auto"/>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昆仑中心幼儿园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长安中心幼儿园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大丰中心幼儿园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山口中心幼儿园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新吴中心幼儿园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太平中心幼儿园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和岭中心幼儿园</w:t>
            </w:r>
          </w:p>
        </w:tc>
        <w:tc>
          <w:tcPr>
            <w:tcW w:w="2268" w:type="dxa"/>
            <w:vAlign w:val="center"/>
          </w:tcPr>
          <w:p>
            <w:pPr>
              <w:autoSpaceDN w:val="0"/>
              <w:spacing w:line="36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5</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sz w:val="24"/>
              </w:rPr>
              <w:t>临高县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红华中心幼儿园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2.专业不限；</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东江中心幼儿园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多文中心幼儿园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波莲中心幼儿园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autoSpaceDN w:val="0"/>
              <w:spacing w:line="400" w:lineRule="exact"/>
              <w:jc w:val="center"/>
              <w:textAlignment w:val="center"/>
              <w:rPr>
                <w:rFonts w:ascii="宋体" w:hAnsi="宋体" w:cs="宋体"/>
                <w:sz w:val="24"/>
              </w:rPr>
            </w:pPr>
            <w:r>
              <w:rPr>
                <w:rFonts w:hint="eastAsia" w:ascii="宋体" w:hAnsi="宋体" w:cs="宋体"/>
                <w:kern w:val="0"/>
                <w:sz w:val="24"/>
              </w:rPr>
              <w:t>皇桐中心幼儿园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spacing w:line="360" w:lineRule="exact"/>
              <w:jc w:val="center"/>
              <w:rPr>
                <w:rFonts w:ascii="宋体" w:hAnsi="宋体" w:cs="宋体"/>
                <w:kern w:val="0"/>
                <w:sz w:val="24"/>
              </w:rPr>
            </w:pPr>
            <w:r>
              <w:rPr>
                <w:rFonts w:hint="eastAsia" w:ascii="宋体" w:hAnsi="宋体" w:cs="宋体"/>
                <w:kern w:val="0"/>
                <w:sz w:val="24"/>
              </w:rPr>
              <w:t>3</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6</w:t>
            </w:r>
          </w:p>
        </w:tc>
        <w:tc>
          <w:tcPr>
            <w:tcW w:w="1370"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屯昌县</w:t>
            </w: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restart"/>
            <w:vAlign w:val="center"/>
          </w:tcPr>
          <w:p>
            <w:pPr>
              <w:spacing w:line="360" w:lineRule="exact"/>
              <w:rPr>
                <w:rFonts w:ascii="宋体" w:hAnsi="宋体" w:cs="宋体"/>
                <w:kern w:val="0"/>
                <w:sz w:val="24"/>
              </w:rPr>
            </w:pPr>
            <w:r>
              <w:rPr>
                <w:rFonts w:hint="eastAsia" w:ascii="宋体" w:hAnsi="宋体" w:cs="宋体"/>
                <w:kern w:val="0"/>
                <w:sz w:val="24"/>
              </w:rPr>
              <w:t>1.专科及以上学历；</w:t>
            </w:r>
          </w:p>
          <w:p>
            <w:pPr>
              <w:spacing w:line="360" w:lineRule="exact"/>
              <w:rPr>
                <w:rFonts w:ascii="宋体" w:hAnsi="宋体" w:cs="宋体"/>
                <w:kern w:val="0"/>
                <w:sz w:val="24"/>
              </w:rPr>
            </w:pPr>
            <w:r>
              <w:rPr>
                <w:rFonts w:hint="eastAsia" w:ascii="宋体" w:hAnsi="宋体" w:cs="宋体"/>
                <w:kern w:val="0"/>
                <w:sz w:val="24"/>
              </w:rPr>
              <w:t>2.学前教育专业；</w:t>
            </w:r>
          </w:p>
          <w:p>
            <w:pPr>
              <w:spacing w:line="3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枫木镇中心幼儿园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乌坡镇中心幼儿园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kern w:val="0"/>
                <w:sz w:val="24"/>
              </w:rPr>
              <w:t>南坤镇黄岭幼儿园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kern w:val="0"/>
                <w:sz w:val="24"/>
              </w:rPr>
              <w:t>1</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blHeader/>
          <w:jc w:val="center"/>
        </w:trPr>
        <w:tc>
          <w:tcPr>
            <w:tcW w:w="785"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序号</w:t>
            </w:r>
          </w:p>
        </w:tc>
        <w:tc>
          <w:tcPr>
            <w:tcW w:w="1370" w:type="dxa"/>
            <w:vAlign w:val="center"/>
          </w:tcPr>
          <w:p>
            <w:pPr>
              <w:spacing w:line="360" w:lineRule="exact"/>
              <w:jc w:val="center"/>
              <w:rPr>
                <w:rFonts w:ascii="宋体" w:hAnsi="宋体" w:cs="宋体"/>
                <w:b/>
                <w:bCs/>
                <w:sz w:val="24"/>
              </w:rPr>
            </w:pPr>
            <w:r>
              <w:rPr>
                <w:rFonts w:hint="eastAsia" w:ascii="宋体" w:hAnsi="宋体" w:cs="宋体"/>
                <w:b/>
                <w:bCs/>
                <w:kern w:val="0"/>
                <w:sz w:val="24"/>
              </w:rPr>
              <w:t>招聘市县</w:t>
            </w:r>
          </w:p>
        </w:tc>
        <w:tc>
          <w:tcPr>
            <w:tcW w:w="364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招聘单位</w:t>
            </w:r>
          </w:p>
        </w:tc>
        <w:tc>
          <w:tcPr>
            <w:tcW w:w="2268"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招聘岗位</w:t>
            </w:r>
          </w:p>
        </w:tc>
        <w:tc>
          <w:tcPr>
            <w:tcW w:w="141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招聘人数</w:t>
            </w:r>
          </w:p>
        </w:tc>
        <w:tc>
          <w:tcPr>
            <w:tcW w:w="5567" w:type="dxa"/>
            <w:vAlign w:val="center"/>
          </w:tcPr>
          <w:p>
            <w:pPr>
              <w:spacing w:line="360" w:lineRule="exact"/>
              <w:jc w:val="center"/>
              <w:rPr>
                <w:rFonts w:ascii="宋体" w:hAnsi="宋体" w:cs="宋体"/>
                <w:b/>
                <w:bCs/>
                <w:kern w:val="0"/>
                <w:sz w:val="24"/>
              </w:rPr>
            </w:pPr>
            <w:r>
              <w:rPr>
                <w:rFonts w:hint="eastAsia" w:ascii="宋体" w:hAnsi="宋体" w:cs="宋体"/>
                <w:b/>
                <w:bCs/>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7</w:t>
            </w:r>
          </w:p>
        </w:tc>
        <w:tc>
          <w:tcPr>
            <w:tcW w:w="1370" w:type="dxa"/>
            <w:vMerge w:val="restart"/>
            <w:vAlign w:val="center"/>
          </w:tcPr>
          <w:p>
            <w:pPr>
              <w:spacing w:line="360" w:lineRule="exact"/>
              <w:jc w:val="center"/>
              <w:rPr>
                <w:rFonts w:ascii="宋体" w:hAnsi="宋体" w:cs="宋体"/>
                <w:sz w:val="24"/>
              </w:rPr>
            </w:pPr>
            <w:r>
              <w:rPr>
                <w:rFonts w:hint="eastAsia" w:ascii="宋体" w:hAnsi="宋体" w:cs="宋体"/>
                <w:sz w:val="24"/>
              </w:rPr>
              <w:t>乐东黎族</w:t>
            </w:r>
          </w:p>
          <w:p>
            <w:pPr>
              <w:spacing w:line="360" w:lineRule="exact"/>
              <w:jc w:val="center"/>
              <w:rPr>
                <w:rFonts w:ascii="宋体" w:hAnsi="宋体" w:cs="宋体"/>
                <w:b/>
                <w:bCs/>
                <w:kern w:val="0"/>
                <w:sz w:val="24"/>
              </w:rPr>
            </w:pPr>
            <w:r>
              <w:rPr>
                <w:rFonts w:hint="eastAsia" w:ascii="宋体" w:hAnsi="宋体" w:cs="宋体"/>
                <w:sz w:val="24"/>
              </w:rPr>
              <w:t>自治县</w:t>
            </w: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万冲镇中心幼儿园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restart"/>
            <w:vAlign w:val="center"/>
          </w:tcPr>
          <w:p>
            <w:pPr>
              <w:widowControl/>
              <w:spacing w:line="320" w:lineRule="exact"/>
              <w:rPr>
                <w:rFonts w:ascii="宋体" w:hAnsi="宋体" w:cs="宋体"/>
                <w:color w:val="000000"/>
                <w:kern w:val="0"/>
                <w:sz w:val="24"/>
              </w:rPr>
            </w:pPr>
            <w:r>
              <w:rPr>
                <w:rFonts w:hint="eastAsia" w:ascii="宋体" w:hAnsi="宋体" w:cs="宋体"/>
                <w:color w:val="000000"/>
                <w:kern w:val="0"/>
                <w:sz w:val="24"/>
              </w:rPr>
              <w:t>1.专科及以上学历；</w:t>
            </w:r>
          </w:p>
          <w:p>
            <w:pPr>
              <w:widowControl/>
              <w:spacing w:line="320" w:lineRule="exact"/>
              <w:rPr>
                <w:rFonts w:ascii="宋体" w:hAnsi="宋体" w:cs="宋体"/>
                <w:color w:val="000000"/>
                <w:kern w:val="0"/>
                <w:sz w:val="24"/>
              </w:rPr>
            </w:pPr>
            <w:r>
              <w:rPr>
                <w:rFonts w:hint="eastAsia" w:ascii="宋体" w:hAnsi="宋体" w:cs="宋体"/>
                <w:color w:val="000000"/>
                <w:kern w:val="0"/>
                <w:sz w:val="24"/>
              </w:rPr>
              <w:t>2.学前教育专业；</w:t>
            </w:r>
          </w:p>
          <w:p>
            <w:pPr>
              <w:widowControl/>
              <w:spacing w:line="320" w:lineRule="exact"/>
              <w:rPr>
                <w:rFonts w:ascii="宋体" w:hAnsi="宋体" w:cs="宋体"/>
                <w:color w:val="000000"/>
                <w:kern w:val="0"/>
                <w:sz w:val="24"/>
              </w:rPr>
            </w:pPr>
            <w:r>
              <w:rPr>
                <w:rFonts w:hint="eastAsia" w:ascii="宋体" w:hAnsi="宋体" w:cs="宋体"/>
                <w:color w:val="000000"/>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320" w:lineRule="exact"/>
              <w:jc w:val="left"/>
              <w:rPr>
                <w:rFonts w:ascii="宋体" w:hAnsi="宋体" w:cs="宋体"/>
                <w:b/>
                <w:bCs/>
                <w:kern w:val="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千家镇中心幼儿园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大安镇中心幼儿园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志仲镇中心幼儿园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九所镇中心幼儿园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利国镇中心幼儿园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黄流镇中心幼儿园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莺歌海镇中心幼儿园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2</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佛罗镇中心幼儿园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3</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sz w:val="24"/>
              </w:rPr>
            </w:pPr>
            <w:r>
              <w:rPr>
                <w:rFonts w:hint="eastAsia" w:ascii="宋体" w:hAnsi="宋体" w:cs="宋体"/>
                <w:color w:val="000000"/>
                <w:kern w:val="0"/>
                <w:sz w:val="24"/>
              </w:rPr>
              <w:t>尖峰镇中心幼儿园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kern w:val="0"/>
                <w:sz w:val="24"/>
              </w:rPr>
            </w:pPr>
            <w:r>
              <w:rPr>
                <w:rFonts w:hint="eastAsia" w:ascii="宋体" w:hAnsi="宋体" w:cs="宋体"/>
                <w:color w:val="000000"/>
                <w:kern w:val="0"/>
                <w:sz w:val="24"/>
              </w:rPr>
              <w:t>1</w:t>
            </w:r>
          </w:p>
        </w:tc>
        <w:tc>
          <w:tcPr>
            <w:tcW w:w="5567" w:type="dxa"/>
            <w:vMerge w:val="continue"/>
            <w:vAlign w:val="center"/>
          </w:tcPr>
          <w:p>
            <w:pPr>
              <w:spacing w:line="32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blHeader/>
          <w:jc w:val="center"/>
        </w:trPr>
        <w:tc>
          <w:tcPr>
            <w:tcW w:w="785" w:type="dxa"/>
            <w:vMerge w:val="restart"/>
            <w:vAlign w:val="center"/>
          </w:tcPr>
          <w:p>
            <w:pPr>
              <w:spacing w:line="360" w:lineRule="exact"/>
              <w:jc w:val="center"/>
              <w:rPr>
                <w:rFonts w:ascii="宋体" w:hAnsi="宋体" w:cs="宋体"/>
                <w:bCs/>
                <w:kern w:val="0"/>
                <w:sz w:val="24"/>
              </w:rPr>
            </w:pPr>
            <w:r>
              <w:rPr>
                <w:rFonts w:hint="eastAsia" w:ascii="宋体" w:hAnsi="宋体" w:cs="宋体"/>
                <w:bCs/>
                <w:kern w:val="0"/>
                <w:sz w:val="24"/>
              </w:rPr>
              <w:t>8</w:t>
            </w:r>
          </w:p>
        </w:tc>
        <w:tc>
          <w:tcPr>
            <w:tcW w:w="1370" w:type="dxa"/>
            <w:vMerge w:val="restart"/>
            <w:vAlign w:val="center"/>
          </w:tcPr>
          <w:p>
            <w:pPr>
              <w:spacing w:line="360" w:lineRule="exact"/>
              <w:jc w:val="center"/>
              <w:rPr>
                <w:rFonts w:ascii="宋体" w:hAnsi="宋体" w:cs="宋体"/>
                <w:b/>
                <w:bCs/>
                <w:kern w:val="0"/>
                <w:sz w:val="24"/>
              </w:rPr>
            </w:pPr>
            <w:r>
              <w:rPr>
                <w:rFonts w:hint="eastAsia" w:ascii="宋体" w:hAnsi="宋体" w:cs="宋体"/>
                <w:kern w:val="0"/>
                <w:sz w:val="24"/>
              </w:rPr>
              <w:t>白沙县</w:t>
            </w: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邦溪镇中心幼儿园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restart"/>
            <w:vAlign w:val="center"/>
          </w:tcPr>
          <w:p>
            <w:pPr>
              <w:spacing w:line="260" w:lineRule="exact"/>
              <w:rPr>
                <w:rFonts w:ascii="宋体" w:hAnsi="宋体" w:cs="宋体"/>
                <w:kern w:val="0"/>
                <w:sz w:val="24"/>
              </w:rPr>
            </w:pPr>
            <w:r>
              <w:rPr>
                <w:rFonts w:hint="eastAsia" w:ascii="宋体" w:hAnsi="宋体" w:cs="宋体"/>
                <w:kern w:val="0"/>
                <w:sz w:val="24"/>
              </w:rPr>
              <w:t>1.专科及以上学历；</w:t>
            </w:r>
          </w:p>
          <w:p>
            <w:pPr>
              <w:spacing w:line="260" w:lineRule="exact"/>
              <w:rPr>
                <w:rFonts w:ascii="宋体" w:hAnsi="宋体" w:cs="宋体"/>
                <w:kern w:val="0"/>
                <w:sz w:val="24"/>
              </w:rPr>
            </w:pPr>
            <w:r>
              <w:rPr>
                <w:rFonts w:hint="eastAsia" w:ascii="宋体" w:hAnsi="宋体" w:cs="宋体"/>
                <w:kern w:val="0"/>
                <w:sz w:val="24"/>
              </w:rPr>
              <w:t>2.专业不限；</w:t>
            </w:r>
          </w:p>
          <w:p>
            <w:pPr>
              <w:spacing w:line="260" w:lineRule="exact"/>
              <w:rPr>
                <w:rFonts w:ascii="宋体" w:hAnsi="宋体" w:cs="宋体"/>
                <w:kern w:val="0"/>
                <w:sz w:val="24"/>
              </w:rPr>
            </w:pPr>
            <w:r>
              <w:rPr>
                <w:rFonts w:hint="eastAsia" w:ascii="宋体" w:hAnsi="宋体" w:cs="宋体"/>
                <w:kern w:val="0"/>
                <w:sz w:val="24"/>
              </w:rPr>
              <w:t>3.已取得幼儿园教师资格证，或未取得幼儿园教师资格证但符合幼儿园教师资格考试报名条件和幼儿园教师资格认定关于思想政治素质、普通话水平、身体条件等要求的高校毕业生（具体详见附件1《实施“先上岗、再考证”相关要求解释》）；</w:t>
            </w:r>
          </w:p>
          <w:p>
            <w:pPr>
              <w:spacing w:line="260" w:lineRule="exact"/>
              <w:jc w:val="left"/>
              <w:rPr>
                <w:rFonts w:ascii="宋体" w:hAnsi="宋体" w:cs="宋体"/>
                <w:b/>
                <w:bCs/>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打安镇中心幼儿园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南开乡中心幼儿园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青松乡中心幼儿园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jc w:val="center"/>
        </w:trPr>
        <w:tc>
          <w:tcPr>
            <w:tcW w:w="785" w:type="dxa"/>
            <w:vMerge w:val="continue"/>
            <w:vAlign w:val="center"/>
          </w:tcPr>
          <w:p>
            <w:pPr>
              <w:spacing w:line="360" w:lineRule="exact"/>
              <w:jc w:val="center"/>
              <w:rPr>
                <w:rFonts w:ascii="宋体" w:hAnsi="宋体" w:cs="宋体"/>
                <w:b/>
                <w:bCs/>
                <w:kern w:val="0"/>
                <w:sz w:val="24"/>
              </w:rPr>
            </w:pPr>
          </w:p>
        </w:tc>
        <w:tc>
          <w:tcPr>
            <w:tcW w:w="1370" w:type="dxa"/>
            <w:vMerge w:val="continue"/>
            <w:vAlign w:val="center"/>
          </w:tcPr>
          <w:p>
            <w:pPr>
              <w:spacing w:line="360" w:lineRule="exact"/>
              <w:jc w:val="center"/>
              <w:rPr>
                <w:rFonts w:ascii="宋体" w:hAnsi="宋体" w:cs="宋体"/>
                <w:b/>
                <w:bCs/>
                <w:kern w:val="0"/>
                <w:sz w:val="24"/>
              </w:rPr>
            </w:pPr>
          </w:p>
        </w:tc>
        <w:tc>
          <w:tcPr>
            <w:tcW w:w="3648" w:type="dxa"/>
            <w:vAlign w:val="center"/>
          </w:tcPr>
          <w:p>
            <w:pPr>
              <w:widowControl/>
              <w:spacing w:line="400" w:lineRule="exact"/>
              <w:jc w:val="center"/>
              <w:rPr>
                <w:rFonts w:ascii="宋体" w:hAnsi="宋体" w:cs="宋体"/>
                <w:color w:val="000000"/>
                <w:kern w:val="0"/>
                <w:sz w:val="24"/>
              </w:rPr>
            </w:pPr>
            <w:r>
              <w:rPr>
                <w:rFonts w:hint="eastAsia" w:ascii="宋体" w:hAnsi="宋体" w:cs="宋体"/>
                <w:kern w:val="0"/>
                <w:sz w:val="24"/>
              </w:rPr>
              <w:t>阜龙乡中心幼儿园</w:t>
            </w:r>
          </w:p>
        </w:tc>
        <w:tc>
          <w:tcPr>
            <w:tcW w:w="2268" w:type="dxa"/>
            <w:vAlign w:val="center"/>
          </w:tcPr>
          <w:p>
            <w:pPr>
              <w:autoSpaceDN w:val="0"/>
              <w:spacing w:line="400" w:lineRule="exact"/>
              <w:jc w:val="center"/>
              <w:textAlignment w:val="center"/>
              <w:rPr>
                <w:rFonts w:ascii="宋体" w:hAnsi="宋体" w:cs="宋体"/>
                <w:sz w:val="24"/>
              </w:rPr>
            </w:pPr>
            <w:r>
              <w:rPr>
                <w:rFonts w:hint="eastAsia" w:ascii="宋体" w:hAnsi="宋体" w:cs="宋体"/>
                <w:sz w:val="24"/>
              </w:rPr>
              <w:t>幼儿园教师</w:t>
            </w:r>
          </w:p>
        </w:tc>
        <w:tc>
          <w:tcPr>
            <w:tcW w:w="1417" w:type="dxa"/>
            <w:vAlign w:val="center"/>
          </w:tcPr>
          <w:p>
            <w:pPr>
              <w:widowControl/>
              <w:spacing w:line="360" w:lineRule="exact"/>
              <w:jc w:val="center"/>
              <w:rPr>
                <w:rFonts w:ascii="宋体" w:hAnsi="宋体" w:cs="宋体"/>
                <w:color w:val="000000"/>
                <w:kern w:val="0"/>
                <w:sz w:val="24"/>
              </w:rPr>
            </w:pPr>
            <w:r>
              <w:rPr>
                <w:rFonts w:hint="eastAsia" w:ascii="宋体" w:hAnsi="宋体" w:cs="宋体"/>
                <w:kern w:val="0"/>
                <w:sz w:val="24"/>
              </w:rPr>
              <w:t>2</w:t>
            </w:r>
          </w:p>
        </w:tc>
        <w:tc>
          <w:tcPr>
            <w:tcW w:w="5567" w:type="dxa"/>
            <w:vMerge w:val="continue"/>
            <w:vAlign w:val="center"/>
          </w:tcPr>
          <w:p>
            <w:pPr>
              <w:spacing w:line="36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tblHeader/>
          <w:jc w:val="center"/>
        </w:trPr>
        <w:tc>
          <w:tcPr>
            <w:tcW w:w="785" w:type="dxa"/>
            <w:vAlign w:val="center"/>
          </w:tcPr>
          <w:p>
            <w:pPr>
              <w:spacing w:line="360" w:lineRule="exact"/>
              <w:jc w:val="center"/>
              <w:rPr>
                <w:rFonts w:ascii="宋体" w:hAnsi="宋体" w:cs="宋体"/>
                <w:b/>
                <w:bCs/>
                <w:kern w:val="0"/>
                <w:sz w:val="24"/>
              </w:rPr>
            </w:pPr>
          </w:p>
        </w:tc>
        <w:tc>
          <w:tcPr>
            <w:tcW w:w="1370" w:type="dxa"/>
            <w:vAlign w:val="center"/>
          </w:tcPr>
          <w:p>
            <w:pPr>
              <w:spacing w:line="300" w:lineRule="exact"/>
              <w:jc w:val="center"/>
              <w:rPr>
                <w:rFonts w:ascii="宋体" w:hAnsi="宋体" w:cs="宋体"/>
                <w:sz w:val="24"/>
              </w:rPr>
            </w:pPr>
            <w:r>
              <w:rPr>
                <w:rFonts w:hint="eastAsia" w:ascii="宋体" w:hAnsi="宋体" w:cs="宋体"/>
                <w:sz w:val="24"/>
              </w:rPr>
              <w:t>合计</w:t>
            </w:r>
          </w:p>
        </w:tc>
        <w:tc>
          <w:tcPr>
            <w:tcW w:w="3648" w:type="dxa"/>
            <w:vAlign w:val="center"/>
          </w:tcPr>
          <w:p>
            <w:pPr>
              <w:spacing w:line="300" w:lineRule="exact"/>
              <w:jc w:val="center"/>
              <w:rPr>
                <w:rFonts w:ascii="宋体" w:hAnsi="宋体" w:cs="宋体"/>
                <w:kern w:val="0"/>
                <w:sz w:val="24"/>
              </w:rPr>
            </w:pPr>
          </w:p>
        </w:tc>
        <w:tc>
          <w:tcPr>
            <w:tcW w:w="2268" w:type="dxa"/>
            <w:vAlign w:val="center"/>
          </w:tcPr>
          <w:p>
            <w:pPr>
              <w:spacing w:line="300" w:lineRule="exact"/>
              <w:jc w:val="center"/>
              <w:rPr>
                <w:rFonts w:ascii="宋体" w:hAnsi="宋体" w:cs="宋体"/>
                <w:kern w:val="0"/>
                <w:sz w:val="24"/>
              </w:rPr>
            </w:pPr>
          </w:p>
        </w:tc>
        <w:tc>
          <w:tcPr>
            <w:tcW w:w="1417" w:type="dxa"/>
            <w:vAlign w:val="center"/>
          </w:tcPr>
          <w:p>
            <w:pPr>
              <w:spacing w:line="300" w:lineRule="exact"/>
              <w:jc w:val="center"/>
              <w:rPr>
                <w:rFonts w:ascii="宋体" w:hAnsi="宋体" w:cs="宋体"/>
                <w:kern w:val="0"/>
                <w:sz w:val="24"/>
              </w:rPr>
            </w:pPr>
            <w:r>
              <w:rPr>
                <w:rFonts w:hint="eastAsia" w:ascii="宋体" w:hAnsi="宋体" w:cs="宋体"/>
                <w:kern w:val="0"/>
                <w:sz w:val="24"/>
              </w:rPr>
              <w:t>100</w:t>
            </w:r>
          </w:p>
        </w:tc>
        <w:tc>
          <w:tcPr>
            <w:tcW w:w="5567" w:type="dxa"/>
            <w:vAlign w:val="center"/>
          </w:tcPr>
          <w:p>
            <w:pPr>
              <w:spacing w:line="360" w:lineRule="exact"/>
              <w:jc w:val="center"/>
              <w:rPr>
                <w:rFonts w:ascii="宋体" w:hAnsi="宋体" w:cs="宋体"/>
                <w:b/>
                <w:bCs/>
                <w:kern w:val="0"/>
                <w:sz w:val="24"/>
              </w:rPr>
            </w:pPr>
          </w:p>
        </w:tc>
      </w:tr>
    </w:tbl>
    <w:p>
      <w:pPr>
        <w:spacing w:line="580" w:lineRule="exact"/>
        <w:rPr>
          <w:rFonts w:ascii="仿宋_GB2312" w:hAnsi="仿宋_GB2312" w:eastAsia="仿宋_GB2312" w:cs="仿宋_GB2312"/>
          <w:sz w:val="32"/>
          <w:szCs w:val="32"/>
        </w:rPr>
        <w:sectPr>
          <w:footerReference r:id="rId3" w:type="default"/>
          <w:footerReference r:id="rId4" w:type="even"/>
          <w:pgSz w:w="16838" w:h="11906" w:orient="landscape"/>
          <w:pgMar w:top="1440" w:right="1080" w:bottom="1440" w:left="1080" w:header="851" w:footer="964" w:gutter="0"/>
          <w:pgBorders>
            <w:top w:val="none" w:sz="0" w:space="0"/>
            <w:left w:val="none" w:sz="0" w:space="0"/>
            <w:bottom w:val="none" w:sz="0" w:space="0"/>
            <w:right w:val="none" w:sz="0" w:space="0"/>
          </w:pgBorders>
          <w:cols w:space="720" w:num="1"/>
          <w:docGrid w:type="lines" w:linePitch="33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8"/>
      </w:rPr>
    </w:pPr>
    <w:r>
      <w:rPr>
        <w:sz w:val="28"/>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8"/>
      </w:rPr>
    </w:pPr>
    <w:r>
      <w:rPr>
        <w:sz w:val="28"/>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C703D"/>
    <w:rsid w:val="56BC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2020-05-30T02:31:00Z</dcterms:created>
  <dc:creator>华图</dc:creator>
  <cp:lastModifiedBy>华图</cp:lastModifiedBy>
  <dcterms:modified xsi:type="dcterms:W3CDTF">2020-05-30T02:31:40Z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