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bookmarkStart w:id="0" w:name="_GoBack"/>
      <w:r>
        <w:rPr>
          <w:rFonts w:ascii="微软雅黑" w:hAnsi="微软雅黑" w:eastAsia="微软雅黑" w:cs="微软雅黑"/>
          <w:b/>
          <w:i w:val="0"/>
          <w:caps w:val="0"/>
          <w:color w:val="333333"/>
          <w:spacing w:val="0"/>
          <w:sz w:val="32"/>
          <w:szCs w:val="32"/>
          <w:shd w:val="clear" w:fill="FFFFFF"/>
        </w:rPr>
        <w:t>盛泽镇</w:t>
      </w:r>
      <w:r>
        <w:rPr>
          <w:rStyle w:val="5"/>
          <w:rFonts w:ascii="微软雅黑" w:hAnsi="微软雅黑" w:eastAsia="微软雅黑" w:cs="微软雅黑"/>
          <w:i w:val="0"/>
          <w:caps w:val="0"/>
          <w:color w:val="333333"/>
          <w:spacing w:val="0"/>
          <w:kern w:val="0"/>
          <w:sz w:val="20"/>
          <w:szCs w:val="20"/>
          <w:shd w:val="clear" w:fill="FFFFFF"/>
          <w:lang w:val="en-US" w:eastAsia="zh-CN" w:bidi="ar"/>
        </w:rPr>
        <w:t>招聘岗位、人数及条件</w:t>
      </w:r>
    </w:p>
    <w:bookmarkEnd w:id="0"/>
    <w:tbl>
      <w:tblPr>
        <w:tblW w:w="881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75"/>
        <w:gridCol w:w="902"/>
        <w:gridCol w:w="601"/>
        <w:gridCol w:w="902"/>
        <w:gridCol w:w="1352"/>
        <w:gridCol w:w="889"/>
        <w:gridCol w:w="349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ascii="黑体" w:hAnsi="宋体" w:eastAsia="黑体" w:cs="黑体"/>
                <w:color w:val="000000"/>
                <w:kern w:val="0"/>
                <w:sz w:val="24"/>
                <w:szCs w:val="24"/>
                <w:bdr w:val="none" w:color="auto" w:sz="0" w:space="0"/>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黑体" w:hAnsi="宋体" w:eastAsia="黑体" w:cs="黑体"/>
                <w:color w:val="000000"/>
                <w:kern w:val="0"/>
                <w:sz w:val="24"/>
                <w:szCs w:val="24"/>
                <w:bdr w:val="none" w:color="auto" w:sz="0" w:space="0"/>
                <w:lang w:val="en-US" w:eastAsia="zh-CN" w:bidi="ar"/>
              </w:rPr>
              <w:t>代码</w:t>
            </w:r>
          </w:p>
        </w:tc>
        <w:tc>
          <w:tcPr>
            <w:tcW w:w="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黑体" w:hAnsi="宋体" w:eastAsia="黑体" w:cs="黑体"/>
                <w:color w:val="000000"/>
                <w:kern w:val="0"/>
                <w:sz w:val="24"/>
                <w:szCs w:val="24"/>
                <w:bdr w:val="none" w:color="auto" w:sz="0" w:space="0"/>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黑体" w:hAnsi="宋体" w:eastAsia="黑体" w:cs="黑体"/>
                <w:color w:val="000000"/>
                <w:kern w:val="0"/>
                <w:sz w:val="24"/>
                <w:szCs w:val="24"/>
                <w:bdr w:val="none" w:color="auto" w:sz="0" w:space="0"/>
                <w:lang w:val="en-US" w:eastAsia="zh-CN" w:bidi="ar"/>
              </w:rPr>
              <w:t>名称</w:t>
            </w:r>
          </w:p>
        </w:tc>
        <w:tc>
          <w:tcPr>
            <w:tcW w:w="6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黑体" w:hAnsi="宋体" w:eastAsia="黑体" w:cs="黑体"/>
                <w:color w:val="000000"/>
                <w:kern w:val="0"/>
                <w:sz w:val="24"/>
                <w:szCs w:val="24"/>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黑体" w:hAnsi="宋体" w:eastAsia="黑体" w:cs="黑体"/>
                <w:color w:val="000000"/>
                <w:kern w:val="0"/>
                <w:sz w:val="24"/>
                <w:szCs w:val="24"/>
                <w:bdr w:val="none" w:color="auto" w:sz="0" w:space="0"/>
                <w:lang w:val="en-US" w:eastAsia="zh-CN" w:bidi="ar"/>
              </w:rPr>
              <w:t>人数</w:t>
            </w:r>
          </w:p>
        </w:tc>
        <w:tc>
          <w:tcPr>
            <w:tcW w:w="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黑体" w:hAnsi="宋体" w:eastAsia="黑体" w:cs="黑体"/>
                <w:color w:val="000000"/>
                <w:kern w:val="0"/>
                <w:sz w:val="24"/>
                <w:szCs w:val="24"/>
                <w:bdr w:val="none" w:color="auto" w:sz="0" w:space="0"/>
                <w:lang w:val="en-US" w:eastAsia="zh-CN" w:bidi="ar"/>
              </w:rPr>
              <w:t>学历</w:t>
            </w:r>
          </w:p>
        </w:tc>
        <w:tc>
          <w:tcPr>
            <w:tcW w:w="13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黑体" w:hAnsi="宋体" w:eastAsia="黑体" w:cs="黑体"/>
                <w:color w:val="000000"/>
                <w:kern w:val="0"/>
                <w:sz w:val="24"/>
                <w:szCs w:val="24"/>
                <w:bdr w:val="none" w:color="auto" w:sz="0" w:space="0"/>
                <w:lang w:val="en-US" w:eastAsia="zh-CN" w:bidi="ar"/>
              </w:rPr>
              <w:t>专业</w:t>
            </w:r>
          </w:p>
        </w:tc>
        <w:tc>
          <w:tcPr>
            <w:tcW w:w="88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黑体" w:hAnsi="宋体" w:eastAsia="黑体" w:cs="黑体"/>
                <w:color w:val="000000"/>
                <w:kern w:val="0"/>
                <w:sz w:val="24"/>
                <w:szCs w:val="24"/>
                <w:bdr w:val="none" w:color="auto" w:sz="0" w:space="0"/>
                <w:lang w:val="en-US" w:eastAsia="zh-CN" w:bidi="ar"/>
              </w:rPr>
              <w:t>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黑体" w:hAnsi="宋体" w:eastAsia="黑体" w:cs="黑体"/>
                <w:color w:val="000000"/>
                <w:kern w:val="0"/>
                <w:sz w:val="24"/>
                <w:szCs w:val="24"/>
                <w:bdr w:val="none" w:color="auto" w:sz="0" w:space="0"/>
                <w:lang w:val="en-US" w:eastAsia="zh-CN" w:bidi="ar"/>
              </w:rPr>
              <w:t>方式</w:t>
            </w:r>
          </w:p>
        </w:tc>
        <w:tc>
          <w:tcPr>
            <w:tcW w:w="3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黑体" w:hAnsi="宋体" w:eastAsia="黑体" w:cs="黑体"/>
                <w:color w:val="000000"/>
                <w:kern w:val="0"/>
                <w:sz w:val="24"/>
                <w:szCs w:val="24"/>
                <w:bdr w:val="none" w:color="auto" w:sz="0" w:space="0"/>
                <w:lang w:val="en-US" w:eastAsia="zh-CN" w:bidi="ar"/>
              </w:rPr>
              <w:t>其他条件</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01</w:t>
            </w:r>
          </w:p>
        </w:tc>
        <w:tc>
          <w:tcPr>
            <w:tcW w:w="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一线辅助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执法队员</w:t>
            </w:r>
          </w:p>
        </w:tc>
        <w:tc>
          <w:tcPr>
            <w:tcW w:w="6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16</w:t>
            </w:r>
          </w:p>
        </w:tc>
        <w:tc>
          <w:tcPr>
            <w:tcW w:w="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大专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及以上</w:t>
            </w:r>
          </w:p>
        </w:tc>
        <w:tc>
          <w:tcPr>
            <w:tcW w:w="13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不限</w:t>
            </w:r>
          </w:p>
        </w:tc>
        <w:tc>
          <w:tcPr>
            <w:tcW w:w="88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1.体质测试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2.面试</w:t>
            </w:r>
          </w:p>
        </w:tc>
        <w:tc>
          <w:tcPr>
            <w:tcW w:w="3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1.男性；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2.35周岁以下（即1984年5月26日以后出生）；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3.吴江区户籍；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4.退伍军人学历可放宽至高中。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02</w:t>
            </w:r>
          </w:p>
        </w:tc>
        <w:tc>
          <w:tcPr>
            <w:tcW w:w="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规划管理</w:t>
            </w:r>
          </w:p>
        </w:tc>
        <w:tc>
          <w:tcPr>
            <w:tcW w:w="6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1</w:t>
            </w:r>
          </w:p>
        </w:tc>
        <w:tc>
          <w:tcPr>
            <w:tcW w:w="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全日制本科及以上</w:t>
            </w:r>
          </w:p>
        </w:tc>
        <w:tc>
          <w:tcPr>
            <w:tcW w:w="13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城市规划、城乡规划、建筑学、环境设计</w:t>
            </w:r>
          </w:p>
        </w:tc>
        <w:tc>
          <w:tcPr>
            <w:tcW w:w="88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1.人岗相适度评价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2.面试</w:t>
            </w:r>
          </w:p>
        </w:tc>
        <w:tc>
          <w:tcPr>
            <w:tcW w:w="3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1.一年及以上相关工作经历；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2.吴江区户籍；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3.35周岁以下（即1984年5月26日以后出生）；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4.具有相关专业高级职称（或硕士研究生学历）者，年龄放宽至40周岁（即1979年5月26日以后出生）。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03</w:t>
            </w:r>
          </w:p>
        </w:tc>
        <w:tc>
          <w:tcPr>
            <w:tcW w:w="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工程管理</w:t>
            </w:r>
          </w:p>
        </w:tc>
        <w:tc>
          <w:tcPr>
            <w:tcW w:w="6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4</w:t>
            </w:r>
          </w:p>
        </w:tc>
        <w:tc>
          <w:tcPr>
            <w:tcW w:w="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全日制本科及以上</w:t>
            </w:r>
          </w:p>
        </w:tc>
        <w:tc>
          <w:tcPr>
            <w:tcW w:w="13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 土木工程、工业与民用建筑、工民建、工程管理、建筑与土木工程</w:t>
            </w:r>
          </w:p>
        </w:tc>
        <w:tc>
          <w:tcPr>
            <w:tcW w:w="88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1.人岗相适度评价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2.面试</w:t>
            </w:r>
          </w:p>
        </w:tc>
        <w:tc>
          <w:tcPr>
            <w:tcW w:w="3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1.三年及以上相关工作经历；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2.具有相关专业初级职称，苏州市区户籍；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3.35周岁以下（即1984年5月26日以后出生）；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4.具有相关专业高级职称（或硕士研究生学历）者，年龄放宽至40周岁（即1979年5月26日以后出生）。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04</w:t>
            </w:r>
          </w:p>
        </w:tc>
        <w:tc>
          <w:tcPr>
            <w:tcW w:w="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建设管理</w:t>
            </w:r>
          </w:p>
        </w:tc>
        <w:tc>
          <w:tcPr>
            <w:tcW w:w="6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1</w:t>
            </w:r>
          </w:p>
        </w:tc>
        <w:tc>
          <w:tcPr>
            <w:tcW w:w="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全日制本科及以上</w:t>
            </w:r>
          </w:p>
        </w:tc>
        <w:tc>
          <w:tcPr>
            <w:tcW w:w="13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 市政工程、道路与铁道工程、桥梁与隧道工程、交通土建工程</w:t>
            </w:r>
          </w:p>
        </w:tc>
        <w:tc>
          <w:tcPr>
            <w:tcW w:w="88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1.人岗相适度评价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2.面试</w:t>
            </w:r>
          </w:p>
        </w:tc>
        <w:tc>
          <w:tcPr>
            <w:tcW w:w="3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1.三年及以上相关工作经历；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2.具有相关专业初级职称，苏州市区户籍；3.35周岁以下（即1984年5月26日以后出生）；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4.具有相关专业高级职称（或硕士研究生学历）者，年龄放宽至40周岁（即1979年5月26日以后出生）。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05</w:t>
            </w:r>
          </w:p>
        </w:tc>
        <w:tc>
          <w:tcPr>
            <w:tcW w:w="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综合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文员</w:t>
            </w:r>
          </w:p>
        </w:tc>
        <w:tc>
          <w:tcPr>
            <w:tcW w:w="6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1</w:t>
            </w:r>
          </w:p>
        </w:tc>
        <w:tc>
          <w:tcPr>
            <w:tcW w:w="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全日制本科及以上</w:t>
            </w:r>
          </w:p>
        </w:tc>
        <w:tc>
          <w:tcPr>
            <w:tcW w:w="13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汉语言文学，汉语言、高级文秘，人力资源管理</w:t>
            </w:r>
          </w:p>
        </w:tc>
        <w:tc>
          <w:tcPr>
            <w:tcW w:w="88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1.人岗相适度评价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2.面试</w:t>
            </w:r>
          </w:p>
        </w:tc>
        <w:tc>
          <w:tcPr>
            <w:tcW w:w="3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1.30周岁以下（即1989年5月26日以后出生）；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2.三年以上相关工作经历，全日制研究生不需要工作经历；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3.户籍不限，具有办公室或综合管理部门工作经验者优先。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06</w:t>
            </w:r>
          </w:p>
        </w:tc>
        <w:tc>
          <w:tcPr>
            <w:tcW w:w="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投融资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专员</w:t>
            </w:r>
          </w:p>
        </w:tc>
        <w:tc>
          <w:tcPr>
            <w:tcW w:w="6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1</w:t>
            </w:r>
          </w:p>
        </w:tc>
        <w:tc>
          <w:tcPr>
            <w:tcW w:w="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全日制本科及以上</w:t>
            </w:r>
          </w:p>
        </w:tc>
        <w:tc>
          <w:tcPr>
            <w:tcW w:w="13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金融学、财务管理、法学（法务会计）、经济法学、经济法</w:t>
            </w:r>
          </w:p>
        </w:tc>
        <w:tc>
          <w:tcPr>
            <w:tcW w:w="88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1.人岗相适度评价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2.面试</w:t>
            </w:r>
          </w:p>
        </w:tc>
        <w:tc>
          <w:tcPr>
            <w:tcW w:w="3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1.30周岁以下（即1989年5月26日以后出生）；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2.三年以上相关工作经历，全日制研究生不需要工作经历；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3.户籍不限，具有融资、财务会计或金融系统工作经验者优先。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07</w:t>
            </w:r>
          </w:p>
        </w:tc>
        <w:tc>
          <w:tcPr>
            <w:tcW w:w="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财务审计专员</w:t>
            </w:r>
          </w:p>
        </w:tc>
        <w:tc>
          <w:tcPr>
            <w:tcW w:w="6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3</w:t>
            </w:r>
          </w:p>
        </w:tc>
        <w:tc>
          <w:tcPr>
            <w:tcW w:w="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全日制本科及以上</w:t>
            </w:r>
          </w:p>
        </w:tc>
        <w:tc>
          <w:tcPr>
            <w:tcW w:w="13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财务管理、会计学、审计学、财务会计与审计</w:t>
            </w:r>
          </w:p>
        </w:tc>
        <w:tc>
          <w:tcPr>
            <w:tcW w:w="88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1.人岗相适度评价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2.面试</w:t>
            </w:r>
          </w:p>
        </w:tc>
        <w:tc>
          <w:tcPr>
            <w:tcW w:w="3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1.30周岁以下（即1989年5月26日以后出生）；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2.三年以上相关工作经历，全日制研究生不需要工作经历；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3.户籍不限，具有企业财务管理、审计工作经历或规模公司风险控制经历或会计事务所工作经验者优先。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76"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08</w:t>
            </w:r>
          </w:p>
        </w:tc>
        <w:tc>
          <w:tcPr>
            <w:tcW w:w="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资产专员</w:t>
            </w:r>
          </w:p>
        </w:tc>
        <w:tc>
          <w:tcPr>
            <w:tcW w:w="6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1</w:t>
            </w:r>
          </w:p>
        </w:tc>
        <w:tc>
          <w:tcPr>
            <w:tcW w:w="90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0"/>
                <w:szCs w:val="20"/>
              </w:rPr>
            </w:pPr>
            <w:r>
              <w:rPr>
                <w:rFonts w:hint="eastAsia" w:ascii="宋体" w:hAnsi="宋体" w:eastAsia="宋体" w:cs="宋体"/>
                <w:color w:val="000000"/>
                <w:kern w:val="0"/>
                <w:sz w:val="20"/>
                <w:szCs w:val="20"/>
                <w:bdr w:val="none" w:color="auto" w:sz="0" w:space="0"/>
                <w:lang w:val="en-US" w:eastAsia="zh-CN" w:bidi="ar"/>
              </w:rPr>
              <w:t>全日制本科及以上</w:t>
            </w:r>
          </w:p>
        </w:tc>
        <w:tc>
          <w:tcPr>
            <w:tcW w:w="135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信息管理与信息系统、管理科学工程、管理科学与工程、工程管理</w:t>
            </w:r>
          </w:p>
        </w:tc>
        <w:tc>
          <w:tcPr>
            <w:tcW w:w="88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1.人岗相适度评价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2.面试</w:t>
            </w:r>
          </w:p>
        </w:tc>
        <w:tc>
          <w:tcPr>
            <w:tcW w:w="349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1.30周岁以下（即1989年5月26日以后出生）；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2.三年以上相关工作经历，全日制研究生不需要工作经历；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0"/>
                <w:szCs w:val="20"/>
              </w:rPr>
            </w:pPr>
            <w:r>
              <w:rPr>
                <w:rFonts w:hint="eastAsia" w:ascii="宋体" w:hAnsi="宋体" w:eastAsia="宋体" w:cs="宋体"/>
                <w:color w:val="000000"/>
                <w:kern w:val="0"/>
                <w:sz w:val="20"/>
                <w:szCs w:val="20"/>
                <w:bdr w:val="none" w:color="auto" w:sz="0" w:space="0"/>
                <w:lang w:val="en-US" w:eastAsia="zh-CN" w:bidi="ar"/>
              </w:rPr>
              <w:t>3.盛泽镇户籍，男性，须外出资产巡查，能够服从节假日及夜间加班要求。</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790035"/>
    <w:rsid w:val="2F7900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2020-05-28T06:32:00Z</dcterms:created>
  <dc:creator>ASUS</dc:creator>
  <cp:lastModifiedBy>ASUS</cp:lastModifiedBy>
  <dcterms:modified xsi:type="dcterms:W3CDTF">2020-05-28T06:32:26Z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