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44"/>
        <w:gridCol w:w="107"/>
        <w:gridCol w:w="973"/>
        <w:gridCol w:w="206"/>
        <w:gridCol w:w="981"/>
        <w:gridCol w:w="430"/>
        <w:gridCol w:w="710"/>
        <w:gridCol w:w="968"/>
        <w:gridCol w:w="868"/>
        <w:gridCol w:w="168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85" w:hRule="atLeast"/>
          <w:jc w:val="center"/>
        </w:trPr>
        <w:tc>
          <w:tcPr>
            <w:tcW w:w="908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海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南热带海洋学院公开招聘报名表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8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8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7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专业技术职务及评聘时间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1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全日制毕业院校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4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在职毕业院校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18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是否符合海南省确定的领军、拔尖人才及以上标准。【具体参考《海南省高层次人才分类标准（2019）》 】</w:t>
            </w:r>
          </w:p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如果符合，请注明。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符合拔尖人才条款中“第一条”“第一款”，本人为“原国家“973 计划”某某课题组第二负责人”。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5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电子信箱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7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现工作单位、任职务及任职时间</w:t>
            </w: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02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6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社会兼职</w:t>
            </w: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0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工作业绩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从业资格证书情况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本人承诺以上情况属实。  </w:t>
            </w:r>
          </w:p>
          <w:p>
            <w:pPr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日</w:t>
            </w:r>
          </w:p>
        </w:tc>
      </w:tr>
    </w:tbl>
    <w:p>
      <w:r>
        <w:rPr>
          <w:rFonts w:hint="eastAsia"/>
        </w:rPr>
        <w:t>注：表格空间可调整扩展。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1CBE"/>
    <w:rsid w:val="21C979B3"/>
    <w:rsid w:val="2B1B1CBE"/>
    <w:rsid w:val="551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2020-04-22T01:13:00Z</dcterms:created>
  <dc:creator>lenovo</dc:creator>
  <cp:lastModifiedBy>lenovo</cp:lastModifiedBy>
  <dcterms:modified xsi:type="dcterms:W3CDTF">2020-04-22T03:23:32Z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