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t>宜春市人民医院根据业务需要，需求以下岗位专业技术人员，现将岗位予以公告：</w:t>
      </w:r>
    </w:p>
    <w:tbl>
      <w:tblPr>
        <w:tblW w:w="0" w:type="auto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65"/>
        <w:gridCol w:w="1710"/>
        <w:gridCol w:w="1365"/>
        <w:gridCol w:w="30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科室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需求人数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学历、学位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年龄</w:t>
            </w:r>
          </w:p>
        </w:tc>
        <w:tc>
          <w:tcPr>
            <w:tcW w:w="3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专业及要求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博士35周岁以下，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硕士30岁以下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内科学专业（肝病方向、肾病方向、血液病学方向、风湿病学方向、消化方向、心血管方向、呼吸方向、全科方向、内分泌方向传染病方向优先）、肿瘤学，具备执业医师资格证、需服从医院岗位安排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外科医师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妇产科学专业、眼科学专业、外科学专业（耳鼻喉方向、甲乳方向、烧伤方向优先）具备执业医师资格证、需服从医院岗位安排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2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神经内科医师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全日制博士研究生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内科学（神经内科方向）或神经病学，具备执业医师资格证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内科学（神经内科方向）或神经病学，具备执业医师资格证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康复科医师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康复医学与理疗学或内科学（神经内科方向），具备执业医师资格证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麻醉科医师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麻醉学专业，具备执业医师资格证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放射科医师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影像医学与核医学专业（放射诊断方向），具备执业医师资格证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超声诊断医师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影像医学与核医学专业（超声诊断方向），具备执业医师资格证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急诊科医师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急诊医学或重症医学，具备执业医师资格证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儿科医师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博士35周岁以下，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硕士30岁以下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儿科学专业，具备执业医师资格证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中医科医师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中医内科学或中西医结合临床专业，具备中医执业医师资格证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核医学科医师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影像医学与核医学专业，具备执业医师资格证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病理科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病理学与病理生理学或临床病理学专业，具备执业医师资格证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健康管理中心医师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内科学专业（心血管方向、呼吸方向、全科方向优先），具备执业医师资格证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临床医学研究中心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基础医学或临床检验诊断学专业，具备相应的从业资格证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心理卫生门诊医师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精神病与精神卫生学专业，具备执业医师资格证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人事科干事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企业管理（人力资源管理方向），拥护中国共产党领导，政治立场坚定，具有良好的政治素质和道德水平，较强的大局意识和全局意识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医院办公室干事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中国语言文学或哲学或新闻学专业或具有医学背景，有一定写作能力，拥护中国共产党领导，政治立场坚定，具有良好的政治素质和道德水平，较强的大局意识和全局意识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质管办干事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临床医学或公共卫生或社会医学与卫生事业管理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医务处干事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临床医学或社会医学与卫生事业管理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教学办干事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临床医学或中国语言文学专业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院感科干事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流行病与卫生统计学专业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70FA"/>
    <w:rsid w:val="26D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2020-05-16T08:07:00Z</dcterms:created>
  <dc:creator>秋叶夏花</dc:creator>
  <cp:lastModifiedBy>秋叶夏花</cp:lastModifiedBy>
  <dcterms:modified xsi:type="dcterms:W3CDTF">2020-05-16T08:24:51Z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