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000000"/>
          <w:spacing w:val="0"/>
          <w:sz w:val="40"/>
          <w:szCs w:val="40"/>
          <w:shd w:val="clear" w:color="auto" w:fill="FFFFFF"/>
          <w:lang w:val="en-US" w:eastAsia="zh-CN"/>
        </w:rPr>
        <w:t>阳泉经济技术开发区管委会简介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阳泉经济技术开发区成立于1993年，为省级经济技术开发区，正县级事业单位建制，现规划面积80平方公里，常住人口11.6万人，入区企业4334家。经过27年发展，开发区综合实力不断增强，产业转型积极推进，产城融合初见成效，营商环境更加优化，初步形成了以百度云计算（阳泉）中心、车路协同自动驾驶等为代表的新一代信息技术产业；以阳煤集团华鑫电气、华越机械等为代表的装备制造业产业；以中兴环能纳米碳材料、金隅通达耐火材料为代表的新材料产业。围绕三大主导产业，积极推进环保产业、物流产业等，“3+X”产业体系初步形成，不断壮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2017年以来，按照省委、市委要求，开发区全面推进三化三制改革，机构设置更加科学，市场化选人用人机制逐步形成。通过全员竞聘上岗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，打破固有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编制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身份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限制，摒弃传统论资排辈歪风，坚持唯才是举，有为者有位，无为者退位，实行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实现了从人员身份管理向岗位管理的转变。通过实行人员绩效管理，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以业绩为导向，以结果论英雄，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考核结果与绩效工资直接挂钩，与人员进退上下直接挂钩，形成了庸者下、能者上的干事创业氛围，“大锅饭”被彻底打破，“赛马机制”已经形成。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outlineLvl w:val="9"/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奋进的开发区、创新的开发区、活力的开发区正在努力迈向创建国家级经济技术开发区的新征程，阳泉经济技术开发区将以爱才、敬才、惜才、用才的姿态，期待更多干事创业人才的到来！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37CFE"/>
    <w:rsid w:val="4F6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阳泉经济技术开发区管理委员会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2020-05-15T07:23:00Z</dcterms:created>
  <dc:creator>魔王</dc:creator>
  <cp:lastModifiedBy>魔王</cp:lastModifiedBy>
  <dcterms:modified xsi:type="dcterms:W3CDTF">2020-05-15T07:24:16Z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