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  <w:rPr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32"/>
          <w:szCs w:val="32"/>
          <w:u w:val="none"/>
          <w:bdr w:val="none" w:color="auto" w:sz="0" w:space="0"/>
        </w:rPr>
        <w:t>建瓯市</w:t>
      </w:r>
      <w:r>
        <w:rPr>
          <w:rFonts w:ascii="方正小标宋简体" w:hAnsi="方正小标宋简体" w:eastAsia="方正小标宋简体" w:cs="方正小标宋简体"/>
          <w:color w:val="333333"/>
          <w:sz w:val="32"/>
          <w:szCs w:val="32"/>
          <w:u w:val="none"/>
          <w:bdr w:val="none" w:color="auto" w:sz="0" w:space="0"/>
        </w:rPr>
        <w:t>岗位表</w:t>
      </w:r>
    </w:p>
    <w:bookmarkEnd w:id="0"/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  <w:u w:val="none"/>
          <w:bdr w:val="none" w:color="auto" w:sz="0" w:space="0"/>
        </w:rPr>
        <w:t> </w:t>
      </w:r>
    </w:p>
    <w:tbl>
      <w:tblPr>
        <w:tblW w:w="483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739"/>
        <w:gridCol w:w="1514"/>
        <w:gridCol w:w="884"/>
        <w:gridCol w:w="474"/>
        <w:gridCol w:w="484"/>
        <w:gridCol w:w="862"/>
        <w:gridCol w:w="809"/>
        <w:gridCol w:w="844"/>
        <w:gridCol w:w="11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服务地</w:t>
            </w:r>
          </w:p>
        </w:tc>
        <w:tc>
          <w:tcPr>
            <w:tcW w:w="92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服务单位</w:t>
            </w:r>
          </w:p>
        </w:tc>
        <w:tc>
          <w:tcPr>
            <w:tcW w:w="53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服务类别</w:t>
            </w:r>
          </w:p>
        </w:tc>
        <w:tc>
          <w:tcPr>
            <w:tcW w:w="28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29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2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171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2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3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专科</w:t>
            </w:r>
          </w:p>
        </w:tc>
        <w:tc>
          <w:tcPr>
            <w:tcW w:w="5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小松镇中心幼儿园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小桥镇中心幼儿园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水源乡中学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生物教师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生物教育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生物科学类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学科教学(生物)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水源乡中心幼儿园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迪口镇中学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学科教学(英语)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建瓯市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迪口镇中心幼儿园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25FA2"/>
    <w:rsid w:val="43E25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2020-05-11T06:48:00Z</dcterms:created>
  <dc:creator>ASUS</dc:creator>
  <cp:lastModifiedBy>ASUS</cp:lastModifiedBy>
  <dcterms:modified xsi:type="dcterms:W3CDTF">2020-05-11T06:49:31Z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