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contextualSpacing/>
        <w:jc w:val="left"/>
        <w:rPr>
          <w:rFonts w:hint="eastAsia" w:ascii="黑体" w:hAnsi="黑体" w:eastAsia="黑体" w:cs="黑体"/>
          <w:spacing w:val="-10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pacing w:val="-10"/>
          <w:kern w:val="0"/>
          <w:sz w:val="32"/>
          <w:szCs w:val="32"/>
          <w:highlight w:val="none"/>
        </w:rPr>
        <w:t>附件1：</w:t>
      </w:r>
    </w:p>
    <w:p>
      <w:pPr>
        <w:spacing w:line="560" w:lineRule="exact"/>
        <w:contextualSpacing/>
        <w:jc w:val="center"/>
        <w:rPr>
          <w:rFonts w:hint="eastAsia" w:ascii="方正小标宋简体" w:hAnsi="宋体" w:eastAsia="方正小标宋简体" w:cs="方正小标宋简体"/>
          <w:spacing w:val="-10"/>
          <w:kern w:val="0"/>
          <w:sz w:val="36"/>
          <w:szCs w:val="36"/>
          <w:highlight w:val="none"/>
        </w:rPr>
      </w:pPr>
      <w:bookmarkStart w:id="0" w:name="_GoBack"/>
      <w:r>
        <w:rPr>
          <w:rFonts w:ascii="方正小标宋简体" w:hAnsi="宋体" w:eastAsia="方正小标宋简体" w:cs="方正小标宋简体"/>
          <w:spacing w:val="-10"/>
          <w:kern w:val="0"/>
          <w:sz w:val="36"/>
          <w:szCs w:val="36"/>
          <w:highlight w:val="none"/>
        </w:rPr>
        <w:t>20</w:t>
      </w:r>
      <w:r>
        <w:rPr>
          <w:rFonts w:hint="eastAsia" w:ascii="方正小标宋简体" w:hAnsi="宋体" w:eastAsia="方正小标宋简体" w:cs="方正小标宋简体"/>
          <w:spacing w:val="-10"/>
          <w:kern w:val="0"/>
          <w:sz w:val="36"/>
          <w:szCs w:val="36"/>
          <w:highlight w:val="none"/>
        </w:rPr>
        <w:t>20年“八角湾优才计划”优秀毕业生选聘职位表</w:t>
      </w:r>
    </w:p>
    <w:bookmarkEnd w:id="0"/>
    <w:tbl>
      <w:tblPr>
        <w:tblStyle w:val="4"/>
        <w:tblW w:w="139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991"/>
        <w:gridCol w:w="1186"/>
        <w:gridCol w:w="10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271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highlight w:val="none"/>
              </w:rPr>
              <w:t>岗位设置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highlight w:val="none"/>
              </w:rPr>
              <w:t>选聘计划</w:t>
            </w:r>
          </w:p>
        </w:tc>
        <w:tc>
          <w:tcPr>
            <w:tcW w:w="1010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highlight w:val="none"/>
              </w:rPr>
              <w:t>专业要求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0" w:type="dxa"/>
            <w:vMerge w:val="restart"/>
            <w:noWrap w:val="0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eastAsia" w:ascii="方正小标宋简体" w:hAnsi="宋体" w:eastAsia="方正小标宋简体" w:cs="方正小标宋简体"/>
                <w:kern w:val="0"/>
                <w:sz w:val="44"/>
                <w:szCs w:val="4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highlight w:val="none"/>
              </w:rPr>
              <w:t>专业岗位</w:t>
            </w:r>
          </w:p>
        </w:tc>
        <w:tc>
          <w:tcPr>
            <w:tcW w:w="19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highlight w:val="none"/>
              </w:rPr>
              <w:t>A（化工新材料类）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010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highlight w:val="none"/>
              </w:rPr>
              <w:t>化学一级学科、材料科学与工程一级学科、化学工程与技术一级学科、轻工技术与工程一级学科，材料与化工专业学位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eastAsia" w:ascii="方正小标宋简体" w:hAnsi="宋体" w:eastAsia="方正小标宋简体" w:cs="方正小标宋简体"/>
                <w:kern w:val="0"/>
                <w:sz w:val="44"/>
                <w:szCs w:val="44"/>
                <w:highlight w:val="none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highlight w:val="none"/>
              </w:rPr>
              <w:t>B（生物医药类）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010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highlight w:val="none"/>
              </w:rPr>
              <w:t>生物学一级学科、生物医学工程一级学科、畜牧学一级学科，生物工程、生物与医药专业学位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eastAsia" w:ascii="方正小标宋简体" w:hAnsi="宋体" w:eastAsia="方正小标宋简体" w:cs="方正小标宋简体"/>
                <w:kern w:val="0"/>
                <w:sz w:val="44"/>
                <w:szCs w:val="44"/>
                <w:highlight w:val="none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highlight w:val="none"/>
              </w:rPr>
              <w:t>C（海洋科学类）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010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highlight w:val="none"/>
              </w:rPr>
              <w:t>海洋科学一级学科、水产一级学科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eastAsia" w:ascii="方正小标宋简体" w:hAnsi="宋体" w:eastAsia="方正小标宋简体" w:cs="方正小标宋简体"/>
                <w:kern w:val="0"/>
                <w:sz w:val="44"/>
                <w:szCs w:val="44"/>
                <w:highlight w:val="none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highlight w:val="none"/>
              </w:rPr>
              <w:t>D（智能制造类）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010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highlight w:val="none"/>
              </w:rPr>
              <w:t>机械工程一级学科、光学工程一级学科、仪器科学与技术一级学科、动力工程及工程热物理一级学科、电气工程一级学科、控制科学与工程一级学科、船舶与海洋工程一级学科，机械、能源动力专业学位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eastAsia" w:ascii="方正小标宋简体" w:hAnsi="宋体" w:eastAsia="方正小标宋简体" w:cs="方正小标宋简体"/>
                <w:kern w:val="0"/>
                <w:sz w:val="44"/>
                <w:szCs w:val="44"/>
                <w:highlight w:val="none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highlight w:val="none"/>
              </w:rPr>
              <w:t>E</w:t>
            </w:r>
            <w:r>
              <w:rPr>
                <w:rFonts w:ascii="仿宋_GB2312" w:hAnsi="宋体" w:eastAsia="仿宋_GB2312" w:cs="仿宋_GB2312"/>
                <w:kern w:val="0"/>
                <w:szCs w:val="21"/>
                <w:highlight w:val="none"/>
              </w:rPr>
              <w:t>(</w:t>
            </w:r>
            <w:r>
              <w:rPr>
                <w:rFonts w:hint="eastAsia" w:ascii="仿宋_GB2312" w:hAnsi="宋体" w:eastAsia="仿宋_GB2312" w:cs="仿宋_GB2312"/>
                <w:kern w:val="0"/>
                <w:szCs w:val="21"/>
                <w:highlight w:val="none"/>
              </w:rPr>
              <w:t>电子信息类</w:t>
            </w:r>
            <w:r>
              <w:rPr>
                <w:rFonts w:ascii="仿宋_GB2312" w:hAnsi="宋体" w:eastAsia="仿宋_GB2312" w:cs="仿宋_GB2312"/>
                <w:kern w:val="0"/>
                <w:szCs w:val="21"/>
                <w:highlight w:val="none"/>
              </w:rPr>
              <w:t>)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010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highlight w:val="none"/>
              </w:rPr>
              <w:t>电子科学与技术一级学科、信息与通信工程一级学科、计算机科学与技术一级学科、软件工程一级学科、网络空间安全一级学科，电子信息专业学位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eastAsia" w:ascii="方正小标宋简体" w:hAnsi="宋体" w:eastAsia="方正小标宋简体" w:cs="方正小标宋简体"/>
                <w:kern w:val="0"/>
                <w:sz w:val="44"/>
                <w:szCs w:val="44"/>
                <w:highlight w:val="none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highlight w:val="none"/>
              </w:rPr>
              <w:t>F（经济金融类）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highlight w:val="none"/>
              </w:rPr>
              <w:t>6</w:t>
            </w:r>
          </w:p>
        </w:tc>
        <w:tc>
          <w:tcPr>
            <w:tcW w:w="1010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highlight w:val="none"/>
              </w:rPr>
              <w:t>理论经济学一级学科、应用经济学一级学科、统计学一级学科，金融、应用统计、税务、国际商务专业学位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300" w:lineRule="exact"/>
              <w:contextualSpacing/>
              <w:rPr>
                <w:rFonts w:hint="eastAsia" w:ascii="仿宋_GB2312" w:hAnsi="宋体" w:eastAsia="仿宋_GB2312" w:cs="仿宋_GB2312"/>
                <w:kern w:val="0"/>
                <w:szCs w:val="21"/>
                <w:highlight w:val="none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highlight w:val="none"/>
              </w:rPr>
              <w:t>G</w:t>
            </w:r>
            <w:r>
              <w:rPr>
                <w:rFonts w:ascii="仿宋_GB2312" w:hAnsi="宋体" w:eastAsia="仿宋_GB2312" w:cs="仿宋_GB2312"/>
                <w:kern w:val="0"/>
                <w:szCs w:val="21"/>
                <w:highlight w:val="none"/>
              </w:rPr>
              <w:t>(</w:t>
            </w:r>
            <w:r>
              <w:rPr>
                <w:rFonts w:hint="eastAsia" w:ascii="仿宋_GB2312" w:hAnsi="宋体" w:eastAsia="仿宋_GB2312" w:cs="仿宋_GB2312"/>
                <w:kern w:val="0"/>
                <w:szCs w:val="21"/>
                <w:highlight w:val="none"/>
              </w:rPr>
              <w:t>规划建设类</w:t>
            </w:r>
            <w:r>
              <w:rPr>
                <w:rFonts w:ascii="仿宋_GB2312" w:hAnsi="宋体" w:eastAsia="仿宋_GB2312" w:cs="仿宋_GB2312"/>
                <w:kern w:val="0"/>
                <w:szCs w:val="21"/>
                <w:highlight w:val="none"/>
              </w:rPr>
              <w:t>)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highlight w:val="none"/>
              </w:rPr>
              <w:t>6</w:t>
            </w:r>
          </w:p>
        </w:tc>
        <w:tc>
          <w:tcPr>
            <w:tcW w:w="1010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highlight w:val="none"/>
              </w:rPr>
              <w:t>建筑学一级学科、土木工程一级学科、水利工程一级学科、测绘科学与技术一级学科、城乡规划学一级学科、风景园林学一级学科、交通运输工程一级学科、环境科学与工程一级学科，建筑学、城市规划、土木水利、交通运输、风景园林、工程管理专业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0" w:type="dxa"/>
            <w:vMerge w:val="continue"/>
            <w:noWrap w:val="0"/>
            <w:vAlign w:val="top"/>
          </w:tcPr>
          <w:p>
            <w:pPr>
              <w:spacing w:line="300" w:lineRule="exact"/>
              <w:contextualSpacing/>
              <w:rPr>
                <w:rFonts w:hint="eastAsia" w:ascii="方正小标宋简体" w:hAnsi="宋体" w:eastAsia="方正小标宋简体" w:cs="方正小标宋简体"/>
                <w:kern w:val="0"/>
                <w:sz w:val="44"/>
                <w:szCs w:val="44"/>
                <w:highlight w:val="none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highlight w:val="none"/>
              </w:rPr>
              <w:t>H（管理类）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kern w:val="0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010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highlight w:val="none"/>
              </w:rPr>
              <w:t>管理科学与工程一级学科、工商管理一级学科、公共管理一级学科</w:t>
            </w:r>
            <w:r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  <w:t>，</w:t>
            </w:r>
            <w:r>
              <w:rPr>
                <w:rFonts w:hint="eastAsia" w:ascii="仿宋_GB2312" w:hAnsi="宋体" w:eastAsia="仿宋_GB2312" w:cs="仿宋_GB2312"/>
                <w:kern w:val="0"/>
                <w:szCs w:val="21"/>
                <w:highlight w:val="none"/>
              </w:rPr>
              <w:t>工商管理、公共管理、会计、旅游管理专业学位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0" w:type="dxa"/>
            <w:vMerge w:val="continue"/>
            <w:noWrap w:val="0"/>
            <w:vAlign w:val="top"/>
          </w:tcPr>
          <w:p>
            <w:pPr>
              <w:spacing w:line="300" w:lineRule="exact"/>
              <w:contextualSpacing/>
              <w:rPr>
                <w:rFonts w:hint="eastAsia" w:ascii="方正小标宋简体" w:hAnsi="宋体" w:eastAsia="方正小标宋简体" w:cs="方正小标宋简体"/>
                <w:kern w:val="0"/>
                <w:sz w:val="44"/>
                <w:szCs w:val="44"/>
                <w:highlight w:val="none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highlight w:val="none"/>
              </w:rPr>
              <w:t>I（法律类）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highlight w:val="none"/>
              </w:rPr>
              <w:t>4</w:t>
            </w:r>
          </w:p>
        </w:tc>
        <w:tc>
          <w:tcPr>
            <w:tcW w:w="1010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highlight w:val="none"/>
              </w:rPr>
              <w:t>法学一级学科，法律、社会工作专业学位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0" w:type="dxa"/>
            <w:vMerge w:val="continue"/>
            <w:noWrap w:val="0"/>
            <w:vAlign w:val="top"/>
          </w:tcPr>
          <w:p>
            <w:pPr>
              <w:spacing w:line="300" w:lineRule="exact"/>
              <w:contextualSpacing/>
              <w:rPr>
                <w:rFonts w:hint="eastAsia" w:ascii="方正小标宋简体" w:hAnsi="宋体" w:eastAsia="方正小标宋简体" w:cs="方正小标宋简体"/>
                <w:kern w:val="0"/>
                <w:sz w:val="44"/>
                <w:szCs w:val="44"/>
                <w:highlight w:val="none"/>
              </w:rPr>
            </w:pPr>
          </w:p>
        </w:tc>
        <w:tc>
          <w:tcPr>
            <w:tcW w:w="1991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highlight w:val="none"/>
              </w:rPr>
              <w:t>J(招商岗位）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1010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highlight w:val="none"/>
              </w:rPr>
              <w:t>不限专业，要求取得英语专业八级或相当层次以上的资格证书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20" w:type="dxa"/>
            <w:vMerge w:val="continue"/>
            <w:noWrap w:val="0"/>
            <w:vAlign w:val="top"/>
          </w:tcPr>
          <w:p>
            <w:pPr>
              <w:spacing w:line="300" w:lineRule="exact"/>
              <w:contextualSpacing/>
              <w:rPr>
                <w:rFonts w:hint="eastAsia" w:ascii="方正小标宋简体" w:hAnsi="宋体" w:eastAsia="方正小标宋简体" w:cs="方正小标宋简体"/>
                <w:kern w:val="0"/>
                <w:sz w:val="44"/>
                <w:szCs w:val="44"/>
                <w:highlight w:val="none"/>
              </w:rPr>
            </w:pPr>
          </w:p>
        </w:tc>
        <w:tc>
          <w:tcPr>
            <w:tcW w:w="199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仿宋_GB2312"/>
                <w:kern w:val="0"/>
                <w:szCs w:val="21"/>
                <w:highlight w:val="none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1010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highlight w:val="none"/>
              </w:rPr>
              <w:t>不限专业，要求取得日语国际能力一级或相当层次以上的资格证书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2711" w:type="dxa"/>
            <w:gridSpan w:val="2"/>
            <w:noWrap w:val="0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eastAsia" w:ascii="方正小标宋简体" w:hAnsi="宋体" w:eastAsia="方正小标宋简体" w:cs="方正小标宋简体"/>
                <w:kern w:val="0"/>
                <w:sz w:val="44"/>
                <w:szCs w:val="4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highlight w:val="none"/>
              </w:rPr>
              <w:t>综合岗位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highlight w:val="none"/>
              </w:rPr>
              <w:t>25</w:t>
            </w:r>
          </w:p>
        </w:tc>
        <w:tc>
          <w:tcPr>
            <w:tcW w:w="1010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highlight w:val="none"/>
              </w:rPr>
              <w:t>不限专业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contextualSpacing/>
        <w:textAlignment w:val="auto"/>
        <w:outlineLvl w:val="9"/>
        <w:rPr>
          <w:rFonts w:hint="eastAsia" w:ascii="仿宋_GB2312" w:hAnsi="宋体" w:eastAsia="仿宋_GB2312" w:cs="仿宋_GB2312"/>
          <w:kern w:val="0"/>
          <w:szCs w:val="21"/>
          <w:highlight w:val="none"/>
        </w:rPr>
      </w:pPr>
      <w:r>
        <w:rPr>
          <w:rFonts w:hint="eastAsia" w:ascii="仿宋_GB2312" w:hAnsi="宋体" w:eastAsia="仿宋_GB2312" w:cs="仿宋_GB2312"/>
          <w:kern w:val="0"/>
          <w:szCs w:val="21"/>
          <w:highlight w:val="none"/>
        </w:rPr>
        <w:t>备注：</w:t>
      </w:r>
      <w:r>
        <w:rPr>
          <w:rFonts w:ascii="仿宋_GB2312" w:hAnsi="宋体" w:eastAsia="仿宋_GB2312" w:cs="仿宋_GB2312"/>
          <w:kern w:val="0"/>
          <w:szCs w:val="21"/>
          <w:highlight w:val="none"/>
        </w:rPr>
        <w:t>1</w:t>
      </w:r>
      <w:r>
        <w:rPr>
          <w:rFonts w:hint="eastAsia" w:ascii="仿宋_GB2312" w:hAnsi="宋体" w:eastAsia="仿宋_GB2312" w:cs="仿宋_GB2312"/>
          <w:kern w:val="0"/>
          <w:szCs w:val="21"/>
          <w:highlight w:val="none"/>
        </w:rPr>
        <w:t>.报考专业岗位的需以最高学历所学专业报名；职位表中要求一级学科的，主要依据为教育部制定的现行专业目录，一级学科包含的专业（含二级学科）和各方向领域均符合要求；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630" w:firstLineChars="300"/>
        <w:textAlignment w:val="auto"/>
        <w:outlineLvl w:val="9"/>
        <w:rPr>
          <w:rFonts w:hint="eastAsia" w:ascii="仿宋_GB2312" w:hAnsi="宋体" w:eastAsia="仿宋_GB2312" w:cs="仿宋_GB2312"/>
          <w:kern w:val="0"/>
          <w:szCs w:val="21"/>
          <w:highlight w:val="none"/>
        </w:rPr>
        <w:sectPr>
          <w:pgSz w:w="16838" w:h="11906" w:orient="landscape"/>
          <w:pgMar w:top="1531" w:right="1814" w:bottom="1531" w:left="1814" w:header="851" w:footer="992" w:gutter="0"/>
          <w:cols w:space="720" w:num="1"/>
          <w:docGrid w:type="lines" w:linePitch="600" w:charSpace="-1844"/>
        </w:sectPr>
      </w:pPr>
      <w:r>
        <w:rPr>
          <w:rFonts w:hint="eastAsia" w:ascii="仿宋_GB2312" w:hAnsi="宋体" w:eastAsia="仿宋_GB2312" w:cs="仿宋_GB2312"/>
          <w:kern w:val="0"/>
          <w:szCs w:val="21"/>
          <w:highlight w:val="none"/>
        </w:rPr>
        <w:t>2.以其他相近专业报名的，由选聘工作领导小组研究定是否可以报名，并在报名网站进行实时更新。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517E49"/>
    <w:rsid w:val="5551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2020-05-08T02:43:00Z</dcterms:created>
  <dc:creator>潇漪</dc:creator>
  <cp:lastModifiedBy>潇漪</cp:lastModifiedBy>
  <dcterms:modified xsi:type="dcterms:W3CDTF">2020-05-08T02:45:28Z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