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黑河自贸片区管委会招聘海关协管员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成绩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及拟进入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考察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人选公示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根据《关于黑河自贸片区管委会招聘海关协管员的公告》,现将黑河自贸片区管委会招聘海关协管员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成绩及拟进入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人选的有关事项公告如下: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海关协管员考试综合成绩公示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海关协管员考试综合成绩，详见附件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(二)拟定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张晓涵、杜夏楠、米杨、于宗杨、黄路超、张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洪阳、张博、柏春、喻浩博、孙厚福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十名考生进入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受理单位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黑河边境经济合作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区管委会商务局(通江路82号4楼404室)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)公示期5个工作日:2020年4月2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考察相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考察流程及具体事项由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自贸片区管委会通知为准,请保持通讯畅通。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附件:中国（黑龙江）自由贸易试验区黑河片区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海关协管员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考试综合成绩。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中国（黑龙江）自由贸易试验区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黑河片区管理委员会 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20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附件：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中国（黑龙江）自由贸易试验区黑河片区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海关协管员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考试综合成绩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中国（黑龙江）自由贸易试验区黑河片区海关协管员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面试</w:t>
      </w:r>
      <w:r>
        <w:rPr>
          <w:rFonts w:hint="eastAsia" w:ascii="宋体" w:hAnsi="宋体" w:eastAsia="宋体" w:cs="宋体"/>
          <w:kern w:val="0"/>
          <w:sz w:val="28"/>
          <w:szCs w:val="28"/>
        </w:rPr>
        <w:t>考试已于2020年4月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宋体" w:cs="宋体"/>
          <w:kern w:val="0"/>
          <w:sz w:val="28"/>
          <w:szCs w:val="28"/>
        </w:rPr>
        <w:t>日完毕，根据招考公告的要求，前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28"/>
          <w:szCs w:val="28"/>
        </w:rPr>
        <w:t>名考生拟进入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考察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（如有弃权，依次递补）</w:t>
      </w:r>
      <w:r>
        <w:rPr>
          <w:rFonts w:hint="eastAsia" w:ascii="宋体" w:hAnsi="宋体" w:eastAsia="宋体" w:cs="宋体"/>
          <w:kern w:val="0"/>
          <w:sz w:val="28"/>
          <w:szCs w:val="28"/>
        </w:rPr>
        <w:t>。按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合计分数</w:t>
      </w:r>
      <w:r>
        <w:rPr>
          <w:rFonts w:hint="eastAsia" w:ascii="宋体" w:hAnsi="宋体" w:eastAsia="宋体" w:cs="宋体"/>
          <w:kern w:val="0"/>
          <w:sz w:val="28"/>
          <w:szCs w:val="28"/>
        </w:rPr>
        <w:t>排序名单如下：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笔试40%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面试60%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张晓涵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51.48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杜夏楠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54.24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米杨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52.68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于海燕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53.04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于宗杨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52.32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孟繁兴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53.04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黄路超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50.64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张洪阳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52.8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49.56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柏春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47.88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喻浩博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49.8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孙厚福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49.44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于宏伟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49.32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张咪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48.48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赵海霞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47.16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宋常文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47.28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盛延波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46.32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刘兴晔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45.96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王茂森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张玉姝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公示期5个工作日:2020年4月20日—4月24日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，监督电话：0456-6105027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中国（黑龙江）自由贸易试验区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黑河片区管理委员会 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2000"/>
        <w:textAlignment w:val="auto"/>
      </w:pPr>
      <w:r>
        <w:rPr>
          <w:rFonts w:ascii="宋体" w:hAnsi="宋体" w:eastAsia="宋体" w:cs="宋体"/>
          <w:kern w:val="0"/>
          <w:sz w:val="28"/>
          <w:szCs w:val="28"/>
        </w:rPr>
        <w:t>2020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ascii="宋体" w:hAnsi="宋体" w:eastAsia="宋体" w:cs="宋体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ascii="宋体" w:hAnsi="宋体" w:eastAsia="宋体" w:cs="宋体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1546D"/>
    <w:rsid w:val="0106663B"/>
    <w:rsid w:val="0A100910"/>
    <w:rsid w:val="406638A2"/>
    <w:rsid w:val="4491546D"/>
    <w:rsid w:val="4FCB4A6F"/>
    <w:rsid w:val="6AF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2020-04-26T07:06:00Z</dcterms:created>
  <dc:creator>商务局</dc:creator>
  <cp:lastModifiedBy>商务局</cp:lastModifiedBy>
  <cp:lastPrinted>2020-04-26T07:28:00Z</cp:lastPrinted>
  <dcterms:modified xsi:type="dcterms:W3CDTF">2020-04-26T09:17:49Z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